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5EA14" w14:textId="77777777" w:rsidR="001142E9" w:rsidRDefault="001142E9"/>
    <w:tbl>
      <w:tblPr>
        <w:tblW w:w="13958" w:type="dxa"/>
        <w:tblLayout w:type="fixed"/>
        <w:tblCellMar>
          <w:top w:w="100" w:type="dxa"/>
          <w:left w:w="120" w:type="dxa"/>
          <w:bottom w:w="100" w:type="dxa"/>
          <w:right w:w="120" w:type="dxa"/>
        </w:tblCellMar>
        <w:tblLook w:val="04A0" w:firstRow="1" w:lastRow="0" w:firstColumn="1" w:lastColumn="0" w:noHBand="0" w:noVBand="1"/>
      </w:tblPr>
      <w:tblGrid>
        <w:gridCol w:w="846"/>
        <w:gridCol w:w="937"/>
        <w:gridCol w:w="4309"/>
        <w:gridCol w:w="4251"/>
        <w:gridCol w:w="1702"/>
        <w:gridCol w:w="1913"/>
      </w:tblGrid>
      <w:tr w:rsidR="001142E9" w14:paraId="52A5EA1C" w14:textId="77777777">
        <w:trPr>
          <w:tblHeader/>
        </w:trPr>
        <w:tc>
          <w:tcPr>
            <w:tcW w:w="845" w:type="dxa"/>
            <w:tcBorders>
              <w:top w:val="single" w:sz="4" w:space="0" w:color="000000"/>
              <w:left w:val="single" w:sz="4" w:space="0" w:color="000000"/>
              <w:bottom w:val="single" w:sz="4" w:space="0" w:color="000000"/>
              <w:right w:val="single" w:sz="4" w:space="0" w:color="000000"/>
            </w:tcBorders>
            <w:shd w:val="pct10" w:color="auto" w:fill="auto"/>
          </w:tcPr>
          <w:p w14:paraId="52A5EA1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Arday </w:t>
            </w:r>
          </w:p>
          <w:p w14:paraId="52A5EA16" w14:textId="77777777" w:rsidR="001142E9" w:rsidRDefault="001142E9">
            <w:pPr>
              <w:widowControl w:val="0"/>
              <w:spacing w:after="0" w:line="240" w:lineRule="auto"/>
              <w:rPr>
                <w:rFonts w:ascii="Arial" w:hAnsi="Arial" w:cs="Arial"/>
                <w:sz w:val="22"/>
                <w:szCs w:val="22"/>
              </w:rPr>
            </w:pPr>
          </w:p>
        </w:tc>
        <w:tc>
          <w:tcPr>
            <w:tcW w:w="937" w:type="dxa"/>
            <w:tcBorders>
              <w:top w:val="single" w:sz="4" w:space="0" w:color="000000"/>
              <w:left w:val="single" w:sz="4" w:space="0" w:color="000000"/>
              <w:bottom w:val="single" w:sz="4" w:space="0" w:color="000000"/>
              <w:right w:val="single" w:sz="4" w:space="0" w:color="000000"/>
            </w:tcBorders>
            <w:shd w:val="pct10" w:color="auto" w:fill="auto"/>
          </w:tcPr>
          <w:p w14:paraId="52A5EA17"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 xml:space="preserve">Z-M thesis </w:t>
            </w:r>
          </w:p>
        </w:tc>
        <w:tc>
          <w:tcPr>
            <w:tcW w:w="4309" w:type="dxa"/>
            <w:tcBorders>
              <w:top w:val="single" w:sz="4" w:space="0" w:color="000000"/>
              <w:left w:val="single" w:sz="4" w:space="0" w:color="000000"/>
              <w:bottom w:val="single" w:sz="4" w:space="0" w:color="000000"/>
              <w:right w:val="single" w:sz="4" w:space="0" w:color="000000"/>
            </w:tcBorders>
            <w:shd w:val="pct10" w:color="auto" w:fill="auto"/>
          </w:tcPr>
          <w:p w14:paraId="52A5EA18"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Arday text extract</w:t>
            </w:r>
          </w:p>
        </w:tc>
        <w:tc>
          <w:tcPr>
            <w:tcW w:w="4251" w:type="dxa"/>
            <w:tcBorders>
              <w:top w:val="single" w:sz="4" w:space="0" w:color="000000"/>
              <w:left w:val="single" w:sz="4" w:space="0" w:color="000000"/>
              <w:bottom w:val="single" w:sz="4" w:space="0" w:color="000000"/>
              <w:right w:val="single" w:sz="4" w:space="0" w:color="000000"/>
            </w:tcBorders>
            <w:shd w:val="pct10" w:color="auto" w:fill="auto"/>
          </w:tcPr>
          <w:p w14:paraId="52A5EA19"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Zwozdiak-Myers text extract</w:t>
            </w:r>
          </w:p>
        </w:tc>
        <w:tc>
          <w:tcPr>
            <w:tcW w:w="1702" w:type="dxa"/>
            <w:tcBorders>
              <w:top w:val="single" w:sz="4" w:space="0" w:color="000000"/>
              <w:left w:val="single" w:sz="4" w:space="0" w:color="000000"/>
              <w:bottom w:val="single" w:sz="4" w:space="0" w:color="000000"/>
              <w:right w:val="single" w:sz="4" w:space="0" w:color="000000"/>
            </w:tcBorders>
            <w:shd w:val="pct10" w:color="auto" w:fill="auto"/>
          </w:tcPr>
          <w:p w14:paraId="52A5EA1A"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Type</w:t>
            </w:r>
          </w:p>
        </w:tc>
        <w:tc>
          <w:tcPr>
            <w:tcW w:w="1913" w:type="dxa"/>
            <w:tcBorders>
              <w:top w:val="single" w:sz="4" w:space="0" w:color="000000"/>
              <w:left w:val="single" w:sz="4" w:space="0" w:color="000000"/>
              <w:bottom w:val="single" w:sz="4" w:space="0" w:color="000000"/>
              <w:right w:val="single" w:sz="4" w:space="0" w:color="000000"/>
            </w:tcBorders>
            <w:shd w:val="pct10" w:color="auto" w:fill="auto"/>
          </w:tcPr>
          <w:p w14:paraId="52A5EA1B"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Notes</w:t>
            </w:r>
          </w:p>
        </w:tc>
      </w:tr>
      <w:tr w:rsidR="001142E9" w14:paraId="52A5EA23" w14:textId="77777777">
        <w:tc>
          <w:tcPr>
            <w:tcW w:w="845" w:type="dxa"/>
            <w:tcBorders>
              <w:top w:val="single" w:sz="4" w:space="0" w:color="000000"/>
              <w:left w:val="single" w:sz="4" w:space="0" w:color="000000"/>
              <w:bottom w:val="single" w:sz="4" w:space="0" w:color="000000"/>
              <w:right w:val="single" w:sz="4" w:space="0" w:color="000000"/>
            </w:tcBorders>
          </w:tcPr>
          <w:p w14:paraId="52A5EA1D"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35</w:t>
            </w:r>
          </w:p>
        </w:tc>
        <w:tc>
          <w:tcPr>
            <w:tcW w:w="937" w:type="dxa"/>
            <w:tcBorders>
              <w:top w:val="single" w:sz="4" w:space="0" w:color="000000"/>
              <w:left w:val="single" w:sz="4" w:space="0" w:color="000000"/>
              <w:bottom w:val="single" w:sz="4" w:space="0" w:color="000000"/>
              <w:right w:val="single" w:sz="4" w:space="0" w:color="000000"/>
            </w:tcBorders>
          </w:tcPr>
          <w:p w14:paraId="52A5EA1E"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9</w:t>
            </w:r>
          </w:p>
        </w:tc>
        <w:tc>
          <w:tcPr>
            <w:tcW w:w="4309" w:type="dxa"/>
            <w:tcBorders>
              <w:top w:val="single" w:sz="4" w:space="0" w:color="000000"/>
              <w:left w:val="single" w:sz="4" w:space="0" w:color="000000"/>
              <w:bottom w:val="single" w:sz="4" w:space="0" w:color="000000"/>
              <w:right w:val="single" w:sz="4" w:space="0" w:color="000000"/>
            </w:tcBorders>
          </w:tcPr>
          <w:p w14:paraId="52A5EA1F" w14:textId="77777777" w:rsidR="001142E9" w:rsidRDefault="002B3BB7">
            <w:pPr>
              <w:widowControl w:val="0"/>
              <w:spacing w:after="0" w:line="240" w:lineRule="auto"/>
              <w:rPr>
                <w:rFonts w:ascii="Arial" w:hAnsi="Arial" w:cs="Arial"/>
                <w:b/>
                <w:bCs/>
                <w:color w:val="000000"/>
                <w:sz w:val="22"/>
                <w:szCs w:val="22"/>
              </w:rPr>
            </w:pPr>
            <w:r>
              <w:rPr>
                <w:rFonts w:ascii="Arial" w:hAnsi="Arial" w:cs="Arial"/>
                <w:sz w:val="22"/>
                <w:szCs w:val="22"/>
              </w:rPr>
              <w:t>Reflective practice can be described as phenomenological, in that a given phenomenon is studied through direct experience, where interpretations are drawn, with the insights gained used to further understanding and modify pedagogical actions (Zwozdiak-Myers, 2012).”</w:t>
            </w:r>
          </w:p>
        </w:tc>
        <w:tc>
          <w:tcPr>
            <w:tcW w:w="4251" w:type="dxa"/>
            <w:tcBorders>
              <w:top w:val="single" w:sz="4" w:space="0" w:color="000000"/>
              <w:left w:val="single" w:sz="4" w:space="0" w:color="000000"/>
              <w:bottom w:val="single" w:sz="4" w:space="0" w:color="000000"/>
              <w:right w:val="single" w:sz="4" w:space="0" w:color="000000"/>
            </w:tcBorders>
          </w:tcPr>
          <w:p w14:paraId="52A5EA20" w14:textId="77777777" w:rsidR="001142E9" w:rsidRDefault="002B3BB7">
            <w:pPr>
              <w:widowControl w:val="0"/>
              <w:spacing w:after="0" w:line="240" w:lineRule="auto"/>
              <w:rPr>
                <w:rFonts w:ascii="Arial" w:hAnsi="Arial" w:cs="Arial"/>
                <w:b/>
                <w:bCs/>
                <w:color w:val="000000"/>
                <w:sz w:val="22"/>
                <w:szCs w:val="22"/>
              </w:rPr>
            </w:pPr>
            <w:r>
              <w:rPr>
                <w:rFonts w:ascii="Arial" w:hAnsi="Arial" w:cs="Arial"/>
                <w:sz w:val="22"/>
                <w:szCs w:val="22"/>
              </w:rPr>
              <w:t>“</w:t>
            </w:r>
            <w:r>
              <w:rPr>
                <w:rFonts w:ascii="Arial" w:hAnsi="Arial" w:cs="Arial"/>
                <w:sz w:val="22"/>
                <w:szCs w:val="22"/>
              </w:rPr>
              <w:t>Reflective practice can be described as phenomenological, in that a given phenomenon is studied through direct experience, interpreted and the insights gained used, to further understanding and modify actions.”</w:t>
            </w:r>
          </w:p>
        </w:tc>
        <w:tc>
          <w:tcPr>
            <w:tcW w:w="1702" w:type="dxa"/>
            <w:tcBorders>
              <w:top w:val="single" w:sz="4" w:space="0" w:color="000000"/>
              <w:left w:val="single" w:sz="4" w:space="0" w:color="000000"/>
              <w:bottom w:val="single" w:sz="4" w:space="0" w:color="000000"/>
              <w:right w:val="single" w:sz="4" w:space="0" w:color="000000"/>
            </w:tcBorders>
          </w:tcPr>
          <w:p w14:paraId="52A5EA21"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Near-verbatim</w:t>
            </w:r>
          </w:p>
        </w:tc>
        <w:tc>
          <w:tcPr>
            <w:tcW w:w="1913" w:type="dxa"/>
            <w:tcBorders>
              <w:top w:val="single" w:sz="4" w:space="0" w:color="000000"/>
              <w:left w:val="single" w:sz="4" w:space="0" w:color="000000"/>
              <w:bottom w:val="single" w:sz="4" w:space="0" w:color="000000"/>
              <w:right w:val="single" w:sz="4" w:space="0" w:color="000000"/>
            </w:tcBorders>
          </w:tcPr>
          <w:p w14:paraId="52A5EA22" w14:textId="77777777" w:rsidR="001142E9" w:rsidRDefault="002B3BB7">
            <w:pPr>
              <w:widowControl w:val="0"/>
              <w:spacing w:after="0" w:line="240" w:lineRule="auto"/>
              <w:rPr>
                <w:rFonts w:ascii="Arial" w:hAnsi="Arial" w:cs="Arial"/>
                <w:color w:val="000000"/>
                <w:sz w:val="22"/>
                <w:szCs w:val="22"/>
              </w:rPr>
            </w:pPr>
            <w:r>
              <w:rPr>
                <w:rFonts w:ascii="Arial" w:hAnsi="Arial" w:cs="Arial"/>
                <w:sz w:val="22"/>
                <w:szCs w:val="22"/>
              </w:rPr>
              <w:t>Arday copies Zwozdiak-Myers’s definition almost exactly; cites Z-M 2012 book into 2009 thesis</w:t>
            </w:r>
          </w:p>
        </w:tc>
      </w:tr>
      <w:tr w:rsidR="001142E9" w14:paraId="52A5EA31" w14:textId="77777777">
        <w:tc>
          <w:tcPr>
            <w:tcW w:w="845" w:type="dxa"/>
            <w:tcBorders>
              <w:top w:val="single" w:sz="4" w:space="0" w:color="000000"/>
              <w:left w:val="single" w:sz="4" w:space="0" w:color="000000"/>
              <w:bottom w:val="single" w:sz="4" w:space="0" w:color="000000"/>
              <w:right w:val="single" w:sz="4" w:space="0" w:color="000000"/>
            </w:tcBorders>
          </w:tcPr>
          <w:p w14:paraId="52A5EA24"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36</w:t>
            </w:r>
          </w:p>
        </w:tc>
        <w:tc>
          <w:tcPr>
            <w:tcW w:w="937" w:type="dxa"/>
            <w:tcBorders>
              <w:top w:val="single" w:sz="4" w:space="0" w:color="000000"/>
              <w:left w:val="single" w:sz="4" w:space="0" w:color="000000"/>
              <w:bottom w:val="single" w:sz="4" w:space="0" w:color="000000"/>
              <w:right w:val="single" w:sz="4" w:space="0" w:color="000000"/>
            </w:tcBorders>
          </w:tcPr>
          <w:p w14:paraId="52A5EA2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9</w:t>
            </w:r>
          </w:p>
        </w:tc>
        <w:tc>
          <w:tcPr>
            <w:tcW w:w="4309" w:type="dxa"/>
            <w:tcBorders>
              <w:top w:val="single" w:sz="4" w:space="0" w:color="000000"/>
              <w:left w:val="single" w:sz="4" w:space="0" w:color="000000"/>
              <w:bottom w:val="single" w:sz="4" w:space="0" w:color="000000"/>
              <w:right w:val="single" w:sz="4" w:space="0" w:color="000000"/>
            </w:tcBorders>
          </w:tcPr>
          <w:p w14:paraId="52A5EA26" w14:textId="77777777" w:rsidR="001142E9" w:rsidRDefault="002B3BB7">
            <w:pPr>
              <w:widowControl w:val="0"/>
              <w:rPr>
                <w:rFonts w:ascii="Arial" w:hAnsi="Arial" w:cs="Arial"/>
                <w:color w:val="000000"/>
                <w:sz w:val="22"/>
                <w:szCs w:val="22"/>
              </w:rPr>
            </w:pPr>
            <w:r>
              <w:rPr>
                <w:rFonts w:ascii="Arial" w:hAnsi="Arial" w:cs="Arial"/>
                <w:color w:val="000000"/>
                <w:sz w:val="22"/>
                <w:szCs w:val="22"/>
              </w:rPr>
              <w:t>Historically, the terms associated with reflective practice encompass the following: the reflective practitioner (Schon, 1983, 1987), teacher as researcher (Hopkins, 2002; McKernan, 1996; Ruddock and Hopkins, 1985; Stenhouse, 1975) and reflective teaching (Calderhead, 1989; Cruickshank, 1987; Dewey, 1910, 1933; Grimmett et al., 1990; Smith, 1980; Van Manen, 1977; Zeichner and Liston, 1996). Contextually, this concept underpins many ideas focused around teacher development within initial teacher education an</w:t>
            </w:r>
            <w:r>
              <w:rPr>
                <w:rFonts w:ascii="Arial" w:hAnsi="Arial" w:cs="Arial"/>
                <w:color w:val="000000"/>
                <w:sz w:val="22"/>
                <w:szCs w:val="22"/>
              </w:rPr>
              <w:t xml:space="preserve">d classroom contexts, configured on the hypothesis that acquiring skills associated with reflective practice should in theory lead student teachers towards </w:t>
            </w:r>
            <w:r>
              <w:rPr>
                <w:rFonts w:ascii="Arial" w:hAnsi="Arial" w:cs="Arial"/>
                <w:color w:val="000000"/>
                <w:sz w:val="22"/>
                <w:szCs w:val="22"/>
              </w:rPr>
              <w:lastRenderedPageBreak/>
              <w:t xml:space="preserve">becoming more effective practitioners (Burn, 2006; Feiman-Nemser, 1990; Gore, 1993; Loughran, 2005; Pollard, 2008; Pollard, 2011; Richert, 1991; Rodgers, 2002).  </w:t>
            </w:r>
          </w:p>
        </w:tc>
        <w:tc>
          <w:tcPr>
            <w:tcW w:w="4251" w:type="dxa"/>
            <w:tcBorders>
              <w:top w:val="single" w:sz="4" w:space="0" w:color="000000"/>
              <w:left w:val="single" w:sz="4" w:space="0" w:color="000000"/>
              <w:bottom w:val="single" w:sz="4" w:space="0" w:color="000000"/>
              <w:right w:val="single" w:sz="4" w:space="0" w:color="000000"/>
            </w:tcBorders>
          </w:tcPr>
          <w:p w14:paraId="52A5EA27"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lastRenderedPageBreak/>
              <w:t>Over past decades, terms associated with reflective practice:</w:t>
            </w:r>
          </w:p>
          <w:p w14:paraId="52A5EA28" w14:textId="77777777" w:rsidR="001142E9" w:rsidRDefault="002B3BB7">
            <w:pPr>
              <w:widowControl w:val="0"/>
              <w:spacing w:after="0" w:line="240" w:lineRule="auto"/>
              <w:rPr>
                <w:rFonts w:ascii="Arial" w:hAnsi="Arial" w:cs="Arial"/>
                <w:i/>
                <w:color w:val="000000"/>
                <w:sz w:val="22"/>
                <w:szCs w:val="22"/>
              </w:rPr>
            </w:pPr>
            <w:r>
              <w:rPr>
                <w:rFonts w:ascii="Arial" w:hAnsi="Arial" w:cs="Arial"/>
                <w:color w:val="000000"/>
                <w:sz w:val="22"/>
                <w:szCs w:val="22"/>
              </w:rPr>
              <w:t xml:space="preserve">              the </w:t>
            </w:r>
            <w:r>
              <w:rPr>
                <w:rFonts w:ascii="Arial" w:hAnsi="Arial" w:cs="Arial"/>
                <w:i/>
                <w:color w:val="000000"/>
                <w:sz w:val="22"/>
                <w:szCs w:val="22"/>
              </w:rPr>
              <w:t xml:space="preserve">reflective practitioner </w:t>
            </w:r>
            <w:r>
              <w:rPr>
                <w:rFonts w:ascii="Arial" w:hAnsi="Arial" w:cs="Arial"/>
                <w:color w:val="000000"/>
                <w:sz w:val="22"/>
                <w:szCs w:val="22"/>
              </w:rPr>
              <w:t xml:space="preserve">(Schon, 1983, 1987), </w:t>
            </w:r>
            <w:r>
              <w:rPr>
                <w:rFonts w:ascii="Arial" w:hAnsi="Arial" w:cs="Arial"/>
                <w:i/>
                <w:color w:val="000000"/>
                <w:sz w:val="22"/>
                <w:szCs w:val="22"/>
              </w:rPr>
              <w:t xml:space="preserve">teacher as researcher </w:t>
            </w:r>
            <w:r>
              <w:rPr>
                <w:rFonts w:ascii="Arial" w:hAnsi="Arial" w:cs="Arial"/>
                <w:color w:val="000000"/>
                <w:sz w:val="22"/>
                <w:szCs w:val="22"/>
              </w:rPr>
              <w:t xml:space="preserve">(Hopkins, 2002; McKernan, 1996;   Ruddock and Hopkins, 1985; Stenhouse, 1975) and </w:t>
            </w:r>
            <w:r>
              <w:rPr>
                <w:rFonts w:ascii="Arial" w:hAnsi="Arial" w:cs="Arial"/>
                <w:i/>
                <w:color w:val="000000"/>
                <w:sz w:val="22"/>
                <w:szCs w:val="22"/>
              </w:rPr>
              <w:t xml:space="preserve">reflective teaching </w:t>
            </w:r>
            <w:r>
              <w:rPr>
                <w:rFonts w:ascii="Arial" w:hAnsi="Arial" w:cs="Arial"/>
                <w:color w:val="000000"/>
                <w:sz w:val="22"/>
                <w:szCs w:val="22"/>
              </w:rPr>
              <w:t xml:space="preserve">(Calderhead, 1989; Cruickshank, 1987; Dewey, 1910, 1933; Grimmett </w:t>
            </w:r>
            <w:r>
              <w:rPr>
                <w:rFonts w:ascii="Arial" w:hAnsi="Arial" w:cs="Arial"/>
                <w:i/>
                <w:color w:val="000000"/>
                <w:sz w:val="22"/>
                <w:szCs w:val="22"/>
              </w:rPr>
              <w:t xml:space="preserve">et al, </w:t>
            </w:r>
            <w:r>
              <w:rPr>
                <w:rFonts w:ascii="Arial" w:hAnsi="Arial" w:cs="Arial"/>
                <w:color w:val="000000"/>
                <w:sz w:val="22"/>
                <w:szCs w:val="22"/>
              </w:rPr>
              <w:t xml:space="preserve">1990; Smith, 1980; van Manen, 1977; Zeichner and Liston, 1996) have been introduced into initial teacher education and classroom contexts based on the assumption that acquiring skills associated with reflective practice should lead student teachers toward becoming more effective practitioners (Burn </w:t>
            </w:r>
            <w:r>
              <w:rPr>
                <w:rFonts w:ascii="Arial" w:hAnsi="Arial" w:cs="Arial"/>
                <w:i/>
                <w:color w:val="000000"/>
                <w:sz w:val="22"/>
                <w:szCs w:val="22"/>
              </w:rPr>
              <w:t>et al</w:t>
            </w:r>
            <w:r>
              <w:rPr>
                <w:rFonts w:ascii="Arial" w:hAnsi="Arial" w:cs="Arial"/>
                <w:color w:val="000000"/>
                <w:sz w:val="22"/>
                <w:szCs w:val="22"/>
              </w:rPr>
              <w:t xml:space="preserve">, 2003; FeimanNemser, 1990; Gore, 1993; Loughran, 2002; Pollard, 2002; Pollard </w:t>
            </w:r>
            <w:r>
              <w:rPr>
                <w:rFonts w:ascii="Arial" w:hAnsi="Arial" w:cs="Arial"/>
                <w:i/>
                <w:color w:val="000000"/>
                <w:sz w:val="22"/>
                <w:szCs w:val="22"/>
              </w:rPr>
              <w:t>et al</w:t>
            </w:r>
            <w:r>
              <w:rPr>
                <w:rFonts w:ascii="Arial" w:hAnsi="Arial" w:cs="Arial"/>
                <w:color w:val="000000"/>
                <w:sz w:val="22"/>
                <w:szCs w:val="22"/>
              </w:rPr>
              <w:t>, 2005; Richert, 1991; Rodgers, 2002). p.9</w:t>
            </w:r>
          </w:p>
        </w:tc>
        <w:tc>
          <w:tcPr>
            <w:tcW w:w="1702" w:type="dxa"/>
            <w:tcBorders>
              <w:top w:val="single" w:sz="4" w:space="0" w:color="000000"/>
              <w:left w:val="single" w:sz="4" w:space="0" w:color="000000"/>
              <w:bottom w:val="single" w:sz="4" w:space="0" w:color="000000"/>
              <w:right w:val="single" w:sz="4" w:space="0" w:color="000000"/>
            </w:tcBorders>
          </w:tcPr>
          <w:p w14:paraId="52A5EA29"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Close paraphrase followed by verbatim-text, near-identical curated literature list</w:t>
            </w:r>
          </w:p>
          <w:p w14:paraId="52A5EA2A" w14:textId="77777777" w:rsidR="001142E9" w:rsidRDefault="001142E9">
            <w:pPr>
              <w:widowControl w:val="0"/>
              <w:spacing w:after="0" w:line="240" w:lineRule="auto"/>
              <w:rPr>
                <w:rFonts w:ascii="Arial" w:hAnsi="Arial" w:cs="Arial"/>
                <w:color w:val="000000"/>
                <w:sz w:val="22"/>
                <w:szCs w:val="22"/>
              </w:rPr>
            </w:pPr>
          </w:p>
          <w:p w14:paraId="52A5EA2B" w14:textId="77777777" w:rsidR="001142E9" w:rsidRDefault="001142E9">
            <w:pPr>
              <w:widowControl w:val="0"/>
              <w:spacing w:after="0" w:line="240" w:lineRule="auto"/>
              <w:rPr>
                <w:rFonts w:ascii="Arial" w:hAnsi="Arial" w:cs="Arial"/>
                <w:color w:val="000000"/>
                <w:sz w:val="22"/>
                <w:szCs w:val="22"/>
              </w:rPr>
            </w:pPr>
          </w:p>
          <w:p w14:paraId="52A5EA2C" w14:textId="77777777" w:rsidR="001142E9" w:rsidRDefault="001142E9">
            <w:pPr>
              <w:widowControl w:val="0"/>
              <w:spacing w:after="0" w:line="240" w:lineRule="auto"/>
              <w:rPr>
                <w:rFonts w:ascii="Arial" w:hAnsi="Arial" w:cs="Arial"/>
                <w:color w:val="000000"/>
                <w:sz w:val="22"/>
                <w:szCs w:val="22"/>
              </w:rPr>
            </w:pPr>
          </w:p>
          <w:p w14:paraId="52A5EA2D"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Second literature list also identical name-wise and  the order (Burn, FeimanMenser, Gore, Loughren, Pollard, Pollard, </w:t>
            </w:r>
            <w:r>
              <w:rPr>
                <w:rFonts w:ascii="Arial" w:hAnsi="Arial" w:cs="Arial"/>
                <w:color w:val="000000"/>
                <w:sz w:val="22"/>
                <w:szCs w:val="22"/>
              </w:rPr>
              <w:lastRenderedPageBreak/>
              <w:t>Richert, Rodgers)</w:t>
            </w:r>
          </w:p>
        </w:tc>
        <w:tc>
          <w:tcPr>
            <w:tcW w:w="1913" w:type="dxa"/>
            <w:tcBorders>
              <w:top w:val="single" w:sz="4" w:space="0" w:color="000000"/>
              <w:left w:val="single" w:sz="4" w:space="0" w:color="000000"/>
              <w:bottom w:val="single" w:sz="4" w:space="0" w:color="000000"/>
              <w:right w:val="single" w:sz="4" w:space="0" w:color="000000"/>
            </w:tcBorders>
          </w:tcPr>
          <w:p w14:paraId="52A5EA2E" w14:textId="77777777" w:rsidR="001142E9" w:rsidRDefault="002B3BB7">
            <w:pPr>
              <w:widowControl w:val="0"/>
              <w:spacing w:after="0" w:line="240" w:lineRule="auto"/>
              <w:rPr>
                <w:rFonts w:ascii="Arial" w:hAnsi="Arial" w:cs="Arial"/>
                <w:sz w:val="22"/>
                <w:szCs w:val="22"/>
              </w:rPr>
            </w:pPr>
            <w:r>
              <w:rPr>
                <w:rFonts w:ascii="Arial" w:hAnsi="Arial" w:cs="Arial"/>
                <w:sz w:val="22"/>
                <w:szCs w:val="22"/>
              </w:rPr>
              <w:lastRenderedPageBreak/>
              <w:t>Uses curated literature scaffold; note almost identical  references places in the same order (Cruickshank, Dewy, Grimmett, Zeichner, Liston, etc)</w:t>
            </w:r>
          </w:p>
          <w:p w14:paraId="52A5EA2F" w14:textId="77777777" w:rsidR="001142E9" w:rsidRDefault="001142E9">
            <w:pPr>
              <w:widowControl w:val="0"/>
              <w:spacing w:after="0" w:line="240" w:lineRule="auto"/>
              <w:rPr>
                <w:rFonts w:ascii="Arial" w:hAnsi="Arial" w:cs="Arial"/>
                <w:sz w:val="22"/>
                <w:szCs w:val="22"/>
              </w:rPr>
            </w:pPr>
          </w:p>
          <w:p w14:paraId="52A5EA30" w14:textId="77777777" w:rsidR="001142E9" w:rsidRDefault="002B3BB7">
            <w:pPr>
              <w:widowControl w:val="0"/>
              <w:spacing w:after="0" w:line="240" w:lineRule="auto"/>
              <w:rPr>
                <w:rFonts w:ascii="Arial" w:hAnsi="Arial" w:cs="Arial"/>
                <w:color w:val="000000"/>
                <w:sz w:val="22"/>
                <w:szCs w:val="22"/>
              </w:rPr>
            </w:pPr>
            <w:r>
              <w:rPr>
                <w:rFonts w:ascii="Arial" w:hAnsi="Arial" w:cs="Arial"/>
                <w:sz w:val="22"/>
                <w:szCs w:val="22"/>
              </w:rPr>
              <w:t>‘Over the past decades’ in Z-M becomes ‘historically’ in Arday</w:t>
            </w:r>
          </w:p>
        </w:tc>
      </w:tr>
      <w:tr w:rsidR="001142E9" w14:paraId="52A5EA38" w14:textId="77777777">
        <w:tc>
          <w:tcPr>
            <w:tcW w:w="845" w:type="dxa"/>
            <w:tcBorders>
              <w:top w:val="single" w:sz="4" w:space="0" w:color="000000"/>
              <w:left w:val="single" w:sz="4" w:space="0" w:color="000000"/>
              <w:bottom w:val="single" w:sz="4" w:space="0" w:color="000000"/>
              <w:right w:val="single" w:sz="4" w:space="0" w:color="000000"/>
            </w:tcBorders>
          </w:tcPr>
          <w:p w14:paraId="52A5EA32"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36</w:t>
            </w:r>
          </w:p>
        </w:tc>
        <w:tc>
          <w:tcPr>
            <w:tcW w:w="937" w:type="dxa"/>
            <w:tcBorders>
              <w:top w:val="single" w:sz="4" w:space="0" w:color="000000"/>
              <w:left w:val="single" w:sz="4" w:space="0" w:color="000000"/>
              <w:bottom w:val="single" w:sz="4" w:space="0" w:color="000000"/>
              <w:right w:val="single" w:sz="4" w:space="0" w:color="000000"/>
            </w:tcBorders>
          </w:tcPr>
          <w:p w14:paraId="52A5EA33"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10</w:t>
            </w:r>
          </w:p>
        </w:tc>
        <w:tc>
          <w:tcPr>
            <w:tcW w:w="4309" w:type="dxa"/>
            <w:tcBorders>
              <w:top w:val="single" w:sz="4" w:space="0" w:color="000000"/>
              <w:left w:val="single" w:sz="4" w:space="0" w:color="000000"/>
              <w:bottom w:val="single" w:sz="4" w:space="0" w:color="000000"/>
              <w:right w:val="single" w:sz="4" w:space="0" w:color="000000"/>
            </w:tcBorders>
          </w:tcPr>
          <w:p w14:paraId="52A5EA34" w14:textId="77777777" w:rsidR="001142E9" w:rsidRDefault="002B3BB7">
            <w:pPr>
              <w:widowControl w:val="0"/>
              <w:spacing w:after="0" w:line="240" w:lineRule="auto"/>
              <w:rPr>
                <w:rFonts w:ascii="Arial" w:hAnsi="Arial" w:cs="Arial"/>
                <w:b/>
                <w:bCs/>
                <w:color w:val="000000"/>
                <w:sz w:val="22"/>
                <w:szCs w:val="22"/>
              </w:rPr>
            </w:pPr>
            <w:r>
              <w:rPr>
                <w:rFonts w:ascii="Arial" w:hAnsi="Arial" w:cs="Arial"/>
                <w:sz w:val="22"/>
                <w:szCs w:val="22"/>
              </w:rPr>
              <w:t>“</w:t>
            </w:r>
            <w:r>
              <w:rPr>
                <w:rFonts w:ascii="Arial" w:hAnsi="Arial" w:cs="Arial"/>
                <w:sz w:val="22"/>
                <w:szCs w:val="22"/>
              </w:rPr>
              <w:t>Commentaries and debates highlight difference regarding claims presented about the benefits of reflective practice in the professional development of student teachers (Galea, 2012; Pollard, 2011).”</w:t>
            </w:r>
          </w:p>
        </w:tc>
        <w:tc>
          <w:tcPr>
            <w:tcW w:w="4251" w:type="dxa"/>
            <w:tcBorders>
              <w:top w:val="single" w:sz="4" w:space="0" w:color="000000"/>
              <w:left w:val="single" w:sz="4" w:space="0" w:color="000000"/>
              <w:bottom w:val="single" w:sz="4" w:space="0" w:color="000000"/>
              <w:right w:val="single" w:sz="4" w:space="0" w:color="000000"/>
            </w:tcBorders>
          </w:tcPr>
          <w:p w14:paraId="52A5EA35" w14:textId="77777777" w:rsidR="001142E9" w:rsidRDefault="002B3BB7">
            <w:pPr>
              <w:widowControl w:val="0"/>
              <w:spacing w:after="0" w:line="240" w:lineRule="auto"/>
              <w:rPr>
                <w:rFonts w:ascii="Arial" w:hAnsi="Arial" w:cs="Arial"/>
                <w:b/>
                <w:bCs/>
                <w:color w:val="000000"/>
                <w:sz w:val="22"/>
                <w:szCs w:val="22"/>
              </w:rPr>
            </w:pPr>
            <w:r>
              <w:rPr>
                <w:rFonts w:ascii="Arial" w:hAnsi="Arial" w:cs="Arial"/>
                <w:sz w:val="22"/>
                <w:szCs w:val="22"/>
              </w:rPr>
              <w:t>“Discussions and debates highlight dissonance between claims made about the benefits of reflective practice in the professional development of student teachers and the lack of systematic research to substantiate those claims.”</w:t>
            </w:r>
          </w:p>
        </w:tc>
        <w:tc>
          <w:tcPr>
            <w:tcW w:w="1702" w:type="dxa"/>
            <w:tcBorders>
              <w:top w:val="single" w:sz="4" w:space="0" w:color="000000"/>
              <w:left w:val="single" w:sz="4" w:space="0" w:color="000000"/>
              <w:bottom w:val="single" w:sz="4" w:space="0" w:color="000000"/>
              <w:right w:val="single" w:sz="4" w:space="0" w:color="000000"/>
            </w:tcBorders>
          </w:tcPr>
          <w:p w14:paraId="52A5EA36"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Close paraphrase, followed by verbatim text</w:t>
            </w:r>
          </w:p>
        </w:tc>
        <w:tc>
          <w:tcPr>
            <w:tcW w:w="1913" w:type="dxa"/>
            <w:tcBorders>
              <w:top w:val="single" w:sz="4" w:space="0" w:color="000000"/>
              <w:left w:val="single" w:sz="4" w:space="0" w:color="000000"/>
              <w:bottom w:val="single" w:sz="4" w:space="0" w:color="000000"/>
              <w:right w:val="single" w:sz="4" w:space="0" w:color="000000"/>
            </w:tcBorders>
          </w:tcPr>
          <w:p w14:paraId="52A5EA37"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‘Discussions’ becomes ‘commentaries’</w:t>
            </w:r>
          </w:p>
        </w:tc>
      </w:tr>
      <w:tr w:rsidR="001142E9" w14:paraId="52A5EA3F" w14:textId="77777777">
        <w:tc>
          <w:tcPr>
            <w:tcW w:w="845" w:type="dxa"/>
            <w:tcBorders>
              <w:top w:val="single" w:sz="4" w:space="0" w:color="000000"/>
              <w:left w:val="single" w:sz="4" w:space="0" w:color="000000"/>
              <w:bottom w:val="single" w:sz="4" w:space="0" w:color="000000"/>
              <w:right w:val="single" w:sz="4" w:space="0" w:color="000000"/>
            </w:tcBorders>
          </w:tcPr>
          <w:p w14:paraId="52A5EA39"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36</w:t>
            </w:r>
          </w:p>
        </w:tc>
        <w:tc>
          <w:tcPr>
            <w:tcW w:w="937" w:type="dxa"/>
            <w:tcBorders>
              <w:top w:val="single" w:sz="4" w:space="0" w:color="000000"/>
              <w:left w:val="single" w:sz="4" w:space="0" w:color="000000"/>
              <w:bottom w:val="single" w:sz="4" w:space="0" w:color="000000"/>
              <w:right w:val="single" w:sz="4" w:space="0" w:color="000000"/>
            </w:tcBorders>
          </w:tcPr>
          <w:p w14:paraId="52A5EA3A"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9</w:t>
            </w:r>
          </w:p>
        </w:tc>
        <w:tc>
          <w:tcPr>
            <w:tcW w:w="4309" w:type="dxa"/>
            <w:tcBorders>
              <w:top w:val="single" w:sz="4" w:space="0" w:color="000000"/>
              <w:left w:val="single" w:sz="4" w:space="0" w:color="000000"/>
              <w:bottom w:val="single" w:sz="4" w:space="0" w:color="000000"/>
              <w:right w:val="single" w:sz="4" w:space="0" w:color="000000"/>
            </w:tcBorders>
          </w:tcPr>
          <w:p w14:paraId="52A5EA3B" w14:textId="77777777" w:rsidR="001142E9" w:rsidRDefault="002B3BB7">
            <w:pPr>
              <w:widowControl w:val="0"/>
              <w:spacing w:after="0" w:line="240" w:lineRule="auto"/>
              <w:rPr>
                <w:rFonts w:ascii="Arial" w:hAnsi="Arial" w:cs="Arial"/>
                <w:b/>
                <w:bCs/>
                <w:color w:val="000000"/>
                <w:sz w:val="22"/>
                <w:szCs w:val="22"/>
              </w:rPr>
            </w:pPr>
            <w:r>
              <w:rPr>
                <w:rFonts w:ascii="-webkit-standard" w:hAnsi="-webkit-standard"/>
                <w:color w:val="000000"/>
                <w:sz w:val="22"/>
                <w:szCs w:val="22"/>
              </w:rPr>
              <w:t>“</w:t>
            </w:r>
            <w:r>
              <w:rPr>
                <w:rFonts w:ascii="Arial" w:hAnsi="Arial" w:cs="Arial"/>
                <w:sz w:val="22"/>
                <w:szCs w:val="22"/>
              </w:rPr>
              <w:t>Varying commentaries sight [sic] a dearth of rigorous, systematic research to substantiate the claims attributed towards reflection, given the absent [sic] of an agreed definition (Korthagen and Kessels, 1999, 2005; Rodgers, 2002; Zeichner, 1994).” </w:t>
            </w:r>
          </w:p>
        </w:tc>
        <w:tc>
          <w:tcPr>
            <w:tcW w:w="4251" w:type="dxa"/>
            <w:tcBorders>
              <w:top w:val="single" w:sz="4" w:space="0" w:color="000000"/>
              <w:left w:val="single" w:sz="4" w:space="0" w:color="000000"/>
              <w:bottom w:val="single" w:sz="4" w:space="0" w:color="000000"/>
              <w:right w:val="single" w:sz="4" w:space="0" w:color="000000"/>
            </w:tcBorders>
          </w:tcPr>
          <w:p w14:paraId="52A5EA3C" w14:textId="77777777" w:rsidR="001142E9" w:rsidRDefault="002B3BB7">
            <w:pPr>
              <w:widowControl w:val="0"/>
              <w:spacing w:after="0" w:line="240" w:lineRule="auto"/>
              <w:rPr>
                <w:rFonts w:ascii="Arial" w:hAnsi="Arial" w:cs="Arial"/>
                <w:b/>
                <w:bCs/>
                <w:color w:val="000000"/>
                <w:sz w:val="22"/>
                <w:szCs w:val="22"/>
              </w:rPr>
            </w:pPr>
            <w:r>
              <w:rPr>
                <w:rFonts w:ascii="-webkit-standard" w:hAnsi="-webkit-standard"/>
                <w:color w:val="000000"/>
                <w:sz w:val="22"/>
                <w:szCs w:val="22"/>
              </w:rPr>
              <w:t>“</w:t>
            </w:r>
            <w:r>
              <w:rPr>
                <w:rFonts w:ascii="Arial" w:hAnsi="Arial" w:cs="Arial"/>
                <w:sz w:val="22"/>
                <w:szCs w:val="22"/>
              </w:rPr>
              <w:t>Discussions and debates highlight dissonance… and the lack of systematic research to substantiate those claims, given the absence of an agreed definition of reflection (Korthagen and Kessels, 1999; Rodgers, 2002; Zeichner, 1994).”</w:t>
            </w:r>
            <w:r>
              <w:rPr>
                <w:rStyle w:val="apple-converted-space"/>
                <w:rFonts w:ascii="-webkit-standard" w:hAnsi="-webkit-standard"/>
                <w:color w:val="000000"/>
                <w:sz w:val="22"/>
                <w:szCs w:val="22"/>
              </w:rPr>
              <w:t> </w:t>
            </w:r>
          </w:p>
        </w:tc>
        <w:tc>
          <w:tcPr>
            <w:tcW w:w="1702" w:type="dxa"/>
            <w:tcBorders>
              <w:top w:val="single" w:sz="4" w:space="0" w:color="000000"/>
              <w:left w:val="single" w:sz="4" w:space="0" w:color="000000"/>
              <w:bottom w:val="single" w:sz="4" w:space="0" w:color="000000"/>
              <w:right w:val="single" w:sz="4" w:space="0" w:color="000000"/>
            </w:tcBorders>
          </w:tcPr>
          <w:p w14:paraId="52A5EA3D"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Close paraphrase, identical reference list</w:t>
            </w:r>
          </w:p>
        </w:tc>
        <w:tc>
          <w:tcPr>
            <w:tcW w:w="1913" w:type="dxa"/>
            <w:tcBorders>
              <w:top w:val="single" w:sz="4" w:space="0" w:color="000000"/>
              <w:left w:val="single" w:sz="4" w:space="0" w:color="000000"/>
              <w:bottom w:val="single" w:sz="4" w:space="0" w:color="000000"/>
              <w:right w:val="single" w:sz="4" w:space="0" w:color="000000"/>
            </w:tcBorders>
          </w:tcPr>
          <w:p w14:paraId="52A5EA3E"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Same trio of sources</w:t>
            </w:r>
          </w:p>
        </w:tc>
      </w:tr>
      <w:tr w:rsidR="001142E9" w14:paraId="52A5EA49" w14:textId="77777777">
        <w:tc>
          <w:tcPr>
            <w:tcW w:w="845" w:type="dxa"/>
            <w:tcBorders>
              <w:top w:val="single" w:sz="4" w:space="0" w:color="000000"/>
              <w:left w:val="single" w:sz="4" w:space="0" w:color="000000"/>
              <w:bottom w:val="single" w:sz="4" w:space="0" w:color="000000"/>
              <w:right w:val="single" w:sz="4" w:space="0" w:color="000000"/>
            </w:tcBorders>
          </w:tcPr>
          <w:p w14:paraId="52A5EA40"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46</w:t>
            </w:r>
          </w:p>
        </w:tc>
        <w:tc>
          <w:tcPr>
            <w:tcW w:w="937" w:type="dxa"/>
            <w:tcBorders>
              <w:top w:val="single" w:sz="4" w:space="0" w:color="000000"/>
              <w:left w:val="single" w:sz="4" w:space="0" w:color="000000"/>
              <w:bottom w:val="single" w:sz="4" w:space="0" w:color="000000"/>
              <w:right w:val="single" w:sz="4" w:space="0" w:color="000000"/>
            </w:tcBorders>
          </w:tcPr>
          <w:p w14:paraId="52A5EA41"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17-18</w:t>
            </w:r>
          </w:p>
        </w:tc>
        <w:tc>
          <w:tcPr>
            <w:tcW w:w="4309" w:type="dxa"/>
            <w:tcBorders>
              <w:top w:val="single" w:sz="4" w:space="0" w:color="000000"/>
              <w:left w:val="single" w:sz="4" w:space="0" w:color="000000"/>
              <w:bottom w:val="single" w:sz="4" w:space="0" w:color="000000"/>
              <w:right w:val="single" w:sz="4" w:space="0" w:color="000000"/>
            </w:tcBorders>
          </w:tcPr>
          <w:p w14:paraId="52A5EA42" w14:textId="77777777" w:rsidR="001142E9" w:rsidRDefault="002B3BB7">
            <w:pPr>
              <w:widowControl w:val="0"/>
              <w:contextualSpacing/>
              <w:rPr>
                <w:rFonts w:ascii="Arial" w:hAnsi="Arial" w:cs="Arial"/>
                <w:sz w:val="22"/>
                <w:szCs w:val="22"/>
              </w:rPr>
            </w:pPr>
            <w:r>
              <w:rPr>
                <w:rFonts w:ascii="Arial" w:hAnsi="Arial" w:cs="Arial"/>
                <w:sz w:val="22"/>
                <w:szCs w:val="22"/>
              </w:rPr>
              <w:t>When reflective practice is characterised as a discourse, it becomes evident through the way student teachers use language and frame questions about aspects of their teaching and experience that different kinds of reflection on practice can be identified (Ghaye, 2011).</w:t>
            </w:r>
          </w:p>
          <w:p w14:paraId="52A5EA43" w14:textId="77777777" w:rsidR="001142E9" w:rsidRDefault="002B3BB7">
            <w:pPr>
              <w:widowControl w:val="0"/>
              <w:contextualSpacing/>
              <w:rPr>
                <w:rFonts w:ascii="Arial" w:hAnsi="Arial" w:cs="Arial"/>
                <w:sz w:val="22"/>
                <w:szCs w:val="22"/>
              </w:rPr>
            </w:pPr>
            <w:r>
              <w:rPr>
                <w:rFonts w:ascii="Arial" w:hAnsi="Arial" w:cs="Arial"/>
                <w:sz w:val="22"/>
                <w:szCs w:val="22"/>
              </w:rPr>
              <w:t xml:space="preserve">The typology devised by Ghaye and </w:t>
            </w:r>
            <w:r>
              <w:rPr>
                <w:rFonts w:ascii="Arial" w:hAnsi="Arial" w:cs="Arial"/>
                <w:sz w:val="22"/>
                <w:szCs w:val="22"/>
              </w:rPr>
              <w:lastRenderedPageBreak/>
              <w:t>Ghaye (1998: 34) recognises useful qualitative distinctions, which can be drawn between reflective conversations:</w:t>
            </w:r>
          </w:p>
          <w:p w14:paraId="52A5EA44" w14:textId="77777777" w:rsidR="001142E9" w:rsidRDefault="001142E9">
            <w:pPr>
              <w:widowControl w:val="0"/>
              <w:spacing w:after="0" w:line="240" w:lineRule="auto"/>
              <w:contextualSpacing/>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A45" w14:textId="77777777" w:rsidR="001142E9" w:rsidRDefault="002B3BB7">
            <w:pPr>
              <w:widowControl w:val="0"/>
              <w:contextualSpacing/>
              <w:rPr>
                <w:rFonts w:ascii="Arial" w:hAnsi="Arial" w:cs="Arial"/>
                <w:sz w:val="22"/>
                <w:szCs w:val="22"/>
              </w:rPr>
            </w:pPr>
            <w:r>
              <w:rPr>
                <w:rFonts w:ascii="Arial" w:hAnsi="Arial" w:cs="Arial"/>
                <w:sz w:val="22"/>
                <w:szCs w:val="22"/>
              </w:rPr>
              <w:lastRenderedPageBreak/>
              <w:t>When reflective practice is characterised as a discourse, it becomes evident through the way student teachers use language and frame questions about aspects of their teaching and experience, that different kinds of reflection on practice can be identified.</w:t>
            </w:r>
          </w:p>
          <w:p w14:paraId="52A5EA46" w14:textId="77777777" w:rsidR="001142E9" w:rsidRDefault="002B3BB7">
            <w:pPr>
              <w:widowControl w:val="0"/>
              <w:contextualSpacing/>
              <w:rPr>
                <w:rFonts w:ascii="Arial" w:hAnsi="Arial" w:cs="Arial"/>
                <w:sz w:val="22"/>
                <w:szCs w:val="22"/>
              </w:rPr>
            </w:pPr>
            <w:r>
              <w:rPr>
                <w:rFonts w:ascii="Arial" w:hAnsi="Arial" w:cs="Arial"/>
                <w:sz w:val="22"/>
                <w:szCs w:val="22"/>
              </w:rPr>
              <w:t xml:space="preserve"> The typology devised by Ghaye and </w:t>
            </w:r>
            <w:r>
              <w:rPr>
                <w:rFonts w:ascii="Arial" w:hAnsi="Arial" w:cs="Arial"/>
                <w:sz w:val="22"/>
                <w:szCs w:val="22"/>
              </w:rPr>
              <w:lastRenderedPageBreak/>
              <w:t>Ghaye (1998: 34) recognises useful qualitative distinctions, which can be drawn between reflective conversations:</w:t>
            </w:r>
          </w:p>
        </w:tc>
        <w:tc>
          <w:tcPr>
            <w:tcW w:w="1702" w:type="dxa"/>
            <w:tcBorders>
              <w:top w:val="single" w:sz="4" w:space="0" w:color="000000"/>
              <w:left w:val="single" w:sz="4" w:space="0" w:color="000000"/>
              <w:bottom w:val="single" w:sz="4" w:space="0" w:color="000000"/>
              <w:right w:val="single" w:sz="4" w:space="0" w:color="000000"/>
            </w:tcBorders>
          </w:tcPr>
          <w:p w14:paraId="52A5EA47"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lastRenderedPageBreak/>
              <w:t>Verbatim until insertion of (Ghaye, 2011). Then verbatim text</w:t>
            </w:r>
          </w:p>
        </w:tc>
        <w:tc>
          <w:tcPr>
            <w:tcW w:w="1913" w:type="dxa"/>
            <w:tcBorders>
              <w:top w:val="single" w:sz="4" w:space="0" w:color="000000"/>
              <w:left w:val="single" w:sz="4" w:space="0" w:color="000000"/>
              <w:bottom w:val="single" w:sz="4" w:space="0" w:color="000000"/>
              <w:right w:val="single" w:sz="4" w:space="0" w:color="000000"/>
            </w:tcBorders>
          </w:tcPr>
          <w:p w14:paraId="52A5EA48"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Ghaye, 2011 is only difference between Arday and Z-M theses</w:t>
            </w:r>
          </w:p>
        </w:tc>
      </w:tr>
      <w:tr w:rsidR="001142E9" w14:paraId="52A5EA5A" w14:textId="77777777">
        <w:tc>
          <w:tcPr>
            <w:tcW w:w="845" w:type="dxa"/>
            <w:tcBorders>
              <w:top w:val="single" w:sz="4" w:space="0" w:color="000000"/>
              <w:left w:val="single" w:sz="4" w:space="0" w:color="000000"/>
              <w:bottom w:val="single" w:sz="4" w:space="0" w:color="000000"/>
              <w:right w:val="single" w:sz="4" w:space="0" w:color="000000"/>
            </w:tcBorders>
          </w:tcPr>
          <w:p w14:paraId="52A5EA4A"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46</w:t>
            </w:r>
          </w:p>
        </w:tc>
        <w:tc>
          <w:tcPr>
            <w:tcW w:w="937" w:type="dxa"/>
            <w:tcBorders>
              <w:top w:val="single" w:sz="4" w:space="0" w:color="000000"/>
              <w:left w:val="single" w:sz="4" w:space="0" w:color="000000"/>
              <w:bottom w:val="single" w:sz="4" w:space="0" w:color="000000"/>
              <w:right w:val="single" w:sz="4" w:space="0" w:color="000000"/>
            </w:tcBorders>
          </w:tcPr>
          <w:p w14:paraId="52A5EA4B"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18</w:t>
            </w:r>
          </w:p>
        </w:tc>
        <w:tc>
          <w:tcPr>
            <w:tcW w:w="4309" w:type="dxa"/>
            <w:tcBorders>
              <w:top w:val="single" w:sz="4" w:space="0" w:color="000000"/>
              <w:left w:val="single" w:sz="4" w:space="0" w:color="000000"/>
              <w:bottom w:val="single" w:sz="4" w:space="0" w:color="000000"/>
              <w:right w:val="single" w:sz="4" w:space="0" w:color="000000"/>
            </w:tcBorders>
          </w:tcPr>
          <w:p w14:paraId="52A5EA4C" w14:textId="77777777" w:rsidR="001142E9" w:rsidRDefault="002B3BB7">
            <w:pPr>
              <w:widowControl w:val="0"/>
              <w:contextualSpacing/>
              <w:rPr>
                <w:rFonts w:ascii="Arial" w:hAnsi="Arial" w:cs="Arial"/>
                <w:sz w:val="22"/>
                <w:szCs w:val="22"/>
              </w:rPr>
            </w:pPr>
            <w:r>
              <w:rPr>
                <w:rFonts w:ascii="Arial" w:hAnsi="Arial" w:cs="Arial"/>
                <w:sz w:val="22"/>
                <w:szCs w:val="22"/>
              </w:rPr>
              <w:t>Perceptive reflection on practice - links teaching to feelings;</w:t>
            </w:r>
          </w:p>
          <w:p w14:paraId="52A5EA4D" w14:textId="77777777" w:rsidR="001142E9" w:rsidRDefault="001142E9">
            <w:pPr>
              <w:widowControl w:val="0"/>
              <w:contextualSpacing/>
              <w:rPr>
                <w:rFonts w:ascii="Arial" w:hAnsi="Arial" w:cs="Arial"/>
                <w:sz w:val="22"/>
                <w:szCs w:val="22"/>
              </w:rPr>
            </w:pPr>
          </w:p>
          <w:p w14:paraId="52A5EA4E" w14:textId="77777777" w:rsidR="001142E9" w:rsidRDefault="002B3BB7">
            <w:pPr>
              <w:widowControl w:val="0"/>
              <w:contextualSpacing/>
              <w:rPr>
                <w:rFonts w:ascii="Arial" w:hAnsi="Arial" w:cs="Arial"/>
                <w:sz w:val="22"/>
                <w:szCs w:val="22"/>
              </w:rPr>
            </w:pPr>
            <w:r>
              <w:rPr>
                <w:rFonts w:ascii="Arial" w:hAnsi="Arial" w:cs="Arial"/>
                <w:sz w:val="22"/>
                <w:szCs w:val="22"/>
              </w:rPr>
              <w:t>Receptive reflection on practice - relates personal views to others’ views;</w:t>
            </w:r>
          </w:p>
          <w:p w14:paraId="52A5EA4F" w14:textId="77777777" w:rsidR="001142E9" w:rsidRDefault="002B3BB7">
            <w:pPr>
              <w:widowControl w:val="0"/>
              <w:contextualSpacing/>
              <w:rPr>
                <w:rFonts w:ascii="Arial" w:hAnsi="Arial" w:cs="Arial"/>
                <w:sz w:val="22"/>
                <w:szCs w:val="22"/>
              </w:rPr>
            </w:pPr>
            <w:r>
              <w:rPr>
                <w:rFonts w:ascii="Arial" w:hAnsi="Arial" w:cs="Arial"/>
                <w:sz w:val="22"/>
                <w:szCs w:val="22"/>
              </w:rPr>
              <w:t>Interactive reflection on practice - links learning with future action;</w:t>
            </w:r>
          </w:p>
          <w:p w14:paraId="52A5EA50" w14:textId="77777777" w:rsidR="001142E9" w:rsidRDefault="001142E9">
            <w:pPr>
              <w:widowControl w:val="0"/>
              <w:contextualSpacing/>
              <w:rPr>
                <w:rFonts w:ascii="Arial" w:hAnsi="Arial" w:cs="Arial"/>
                <w:sz w:val="22"/>
                <w:szCs w:val="22"/>
              </w:rPr>
            </w:pPr>
          </w:p>
          <w:p w14:paraId="52A5EA51"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Critical reflection on practice - places individual teaching within a broader ‘system’.</w:t>
            </w:r>
          </w:p>
        </w:tc>
        <w:tc>
          <w:tcPr>
            <w:tcW w:w="4251" w:type="dxa"/>
            <w:tcBorders>
              <w:top w:val="single" w:sz="4" w:space="0" w:color="000000"/>
              <w:left w:val="single" w:sz="4" w:space="0" w:color="000000"/>
              <w:bottom w:val="single" w:sz="4" w:space="0" w:color="000000"/>
              <w:right w:val="single" w:sz="4" w:space="0" w:color="000000"/>
            </w:tcBorders>
          </w:tcPr>
          <w:p w14:paraId="52A5EA52" w14:textId="77777777" w:rsidR="001142E9" w:rsidRDefault="002B3BB7">
            <w:pPr>
              <w:widowControl w:val="0"/>
              <w:contextualSpacing/>
              <w:rPr>
                <w:rFonts w:ascii="Arial" w:hAnsi="Arial" w:cs="Arial"/>
                <w:sz w:val="22"/>
                <w:szCs w:val="22"/>
              </w:rPr>
            </w:pPr>
            <w:r>
              <w:rPr>
                <w:rFonts w:ascii="Arial" w:hAnsi="Arial" w:cs="Arial"/>
                <w:sz w:val="22"/>
                <w:szCs w:val="22"/>
              </w:rPr>
              <w:t>Perceptive reflection on practice - links teaching to feelings</w:t>
            </w:r>
          </w:p>
          <w:p w14:paraId="52A5EA53" w14:textId="77777777" w:rsidR="001142E9" w:rsidRDefault="001142E9">
            <w:pPr>
              <w:widowControl w:val="0"/>
              <w:contextualSpacing/>
              <w:rPr>
                <w:rFonts w:ascii="Arial" w:hAnsi="Arial" w:cs="Arial"/>
                <w:sz w:val="22"/>
                <w:szCs w:val="22"/>
              </w:rPr>
            </w:pPr>
          </w:p>
          <w:p w14:paraId="52A5EA54" w14:textId="77777777" w:rsidR="001142E9" w:rsidRDefault="002B3BB7">
            <w:pPr>
              <w:widowControl w:val="0"/>
              <w:contextualSpacing/>
              <w:rPr>
                <w:rFonts w:ascii="Arial" w:hAnsi="Arial" w:cs="Arial"/>
                <w:sz w:val="22"/>
                <w:szCs w:val="22"/>
              </w:rPr>
            </w:pPr>
            <w:r>
              <w:rPr>
                <w:rFonts w:ascii="Arial" w:hAnsi="Arial" w:cs="Arial"/>
                <w:sz w:val="22"/>
                <w:szCs w:val="22"/>
              </w:rPr>
              <w:t>Receptive reflection on practice - relates personal views to others‟ views</w:t>
            </w:r>
          </w:p>
          <w:p w14:paraId="52A5EA55" w14:textId="77777777" w:rsidR="001142E9" w:rsidRDefault="002B3BB7">
            <w:pPr>
              <w:widowControl w:val="0"/>
              <w:contextualSpacing/>
              <w:rPr>
                <w:rFonts w:ascii="Arial" w:hAnsi="Arial" w:cs="Arial"/>
                <w:sz w:val="22"/>
                <w:szCs w:val="22"/>
              </w:rPr>
            </w:pPr>
            <w:r>
              <w:rPr>
                <w:rFonts w:ascii="Arial" w:hAnsi="Arial" w:cs="Arial"/>
                <w:sz w:val="22"/>
                <w:szCs w:val="22"/>
              </w:rPr>
              <w:t>Interactive reflection on practice - links learning with future action</w:t>
            </w:r>
          </w:p>
          <w:p w14:paraId="52A5EA56" w14:textId="77777777" w:rsidR="001142E9" w:rsidRDefault="001142E9">
            <w:pPr>
              <w:widowControl w:val="0"/>
              <w:contextualSpacing/>
              <w:rPr>
                <w:rFonts w:ascii="Arial" w:hAnsi="Arial" w:cs="Arial"/>
                <w:sz w:val="22"/>
                <w:szCs w:val="22"/>
              </w:rPr>
            </w:pPr>
          </w:p>
          <w:p w14:paraId="52A5EA57"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Critical reflection on practice - places individual teaching within a broader “system”.</w:t>
            </w:r>
          </w:p>
        </w:tc>
        <w:tc>
          <w:tcPr>
            <w:tcW w:w="1702" w:type="dxa"/>
            <w:tcBorders>
              <w:top w:val="single" w:sz="4" w:space="0" w:color="000000"/>
              <w:left w:val="single" w:sz="4" w:space="0" w:color="000000"/>
              <w:bottom w:val="single" w:sz="4" w:space="0" w:color="000000"/>
              <w:right w:val="single" w:sz="4" w:space="0" w:color="000000"/>
            </w:tcBorders>
          </w:tcPr>
          <w:p w14:paraId="52A5EA58"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Verbatim scaffold and text</w:t>
            </w:r>
          </w:p>
        </w:tc>
        <w:tc>
          <w:tcPr>
            <w:tcW w:w="1913" w:type="dxa"/>
            <w:tcBorders>
              <w:top w:val="single" w:sz="4" w:space="0" w:color="000000"/>
              <w:left w:val="single" w:sz="4" w:space="0" w:color="000000"/>
              <w:bottom w:val="single" w:sz="4" w:space="0" w:color="000000"/>
              <w:right w:val="single" w:sz="4" w:space="0" w:color="000000"/>
            </w:tcBorders>
          </w:tcPr>
          <w:p w14:paraId="52A5EA59"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Note identical use of quotation marks around ‘system’ in both Arday and Z-M</w:t>
            </w:r>
          </w:p>
        </w:tc>
      </w:tr>
      <w:tr w:rsidR="001142E9" w14:paraId="52A5EA64" w14:textId="77777777">
        <w:tc>
          <w:tcPr>
            <w:tcW w:w="845" w:type="dxa"/>
            <w:tcBorders>
              <w:top w:val="single" w:sz="4" w:space="0" w:color="000000"/>
              <w:left w:val="single" w:sz="4" w:space="0" w:color="000000"/>
              <w:bottom w:val="single" w:sz="4" w:space="0" w:color="000000"/>
              <w:right w:val="single" w:sz="4" w:space="0" w:color="000000"/>
            </w:tcBorders>
          </w:tcPr>
          <w:p w14:paraId="52A5EA5B"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46</w:t>
            </w:r>
          </w:p>
        </w:tc>
        <w:tc>
          <w:tcPr>
            <w:tcW w:w="937" w:type="dxa"/>
            <w:tcBorders>
              <w:top w:val="single" w:sz="4" w:space="0" w:color="000000"/>
              <w:left w:val="single" w:sz="4" w:space="0" w:color="000000"/>
              <w:bottom w:val="single" w:sz="4" w:space="0" w:color="000000"/>
              <w:right w:val="single" w:sz="4" w:space="0" w:color="000000"/>
            </w:tcBorders>
          </w:tcPr>
          <w:p w14:paraId="52A5EA5C"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18</w:t>
            </w:r>
          </w:p>
        </w:tc>
        <w:tc>
          <w:tcPr>
            <w:tcW w:w="4309" w:type="dxa"/>
            <w:tcBorders>
              <w:top w:val="single" w:sz="4" w:space="0" w:color="000000"/>
              <w:left w:val="single" w:sz="4" w:space="0" w:color="000000"/>
              <w:bottom w:val="single" w:sz="4" w:space="0" w:color="000000"/>
              <w:right w:val="single" w:sz="4" w:space="0" w:color="000000"/>
            </w:tcBorders>
          </w:tcPr>
          <w:p w14:paraId="52A5EA5D"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 xml:space="preserve">The type of reflective conservation facilitates a particular purpose and can be utilised to frame the way student teachers evaluate and deconstruct their own teaching practice (Bell and Mladenovic, 2013). Underpinning the direction of reflective conversations, student teachers can engage in collaborative endeavour, with stimulus provided from theoretical literature, in attempting to answer different types of question, identified within experiential learning or professional practice. </w:t>
            </w:r>
          </w:p>
        </w:tc>
        <w:tc>
          <w:tcPr>
            <w:tcW w:w="4251" w:type="dxa"/>
            <w:tcBorders>
              <w:top w:val="single" w:sz="4" w:space="0" w:color="000000"/>
              <w:left w:val="single" w:sz="4" w:space="0" w:color="000000"/>
              <w:bottom w:val="single" w:sz="4" w:space="0" w:color="000000"/>
              <w:right w:val="single" w:sz="4" w:space="0" w:color="000000"/>
            </w:tcBorders>
          </w:tcPr>
          <w:p w14:paraId="52A5EA5E" w14:textId="77777777" w:rsidR="001142E9" w:rsidRDefault="002B3BB7">
            <w:pPr>
              <w:widowControl w:val="0"/>
              <w:contextualSpacing/>
              <w:rPr>
                <w:rFonts w:ascii="Arial" w:hAnsi="Arial" w:cs="Arial"/>
                <w:sz w:val="22"/>
                <w:szCs w:val="22"/>
              </w:rPr>
            </w:pPr>
            <w:r>
              <w:rPr>
                <w:rFonts w:ascii="Arial" w:hAnsi="Arial" w:cs="Arial"/>
                <w:sz w:val="22"/>
                <w:szCs w:val="22"/>
              </w:rPr>
              <w:t xml:space="preserve">Each kind of reflection on practice serves a particular purpose and can be used to shape the way student teachers express and make sense of their own practice. </w:t>
            </w:r>
          </w:p>
          <w:p w14:paraId="52A5EA5F" w14:textId="77777777" w:rsidR="001142E9" w:rsidRDefault="001142E9">
            <w:pPr>
              <w:widowControl w:val="0"/>
              <w:contextualSpacing/>
              <w:rPr>
                <w:rFonts w:ascii="Arial" w:hAnsi="Arial" w:cs="Arial"/>
                <w:sz w:val="22"/>
                <w:szCs w:val="22"/>
              </w:rPr>
            </w:pPr>
          </w:p>
          <w:p w14:paraId="52A5EA60" w14:textId="77777777" w:rsidR="001142E9" w:rsidRDefault="002B3BB7">
            <w:pPr>
              <w:widowControl w:val="0"/>
              <w:contextualSpacing/>
              <w:rPr>
                <w:rFonts w:ascii="Arial" w:hAnsi="Arial" w:cs="Arial"/>
                <w:sz w:val="22"/>
                <w:szCs w:val="22"/>
              </w:rPr>
            </w:pPr>
            <w:r>
              <w:rPr>
                <w:rFonts w:ascii="Arial" w:hAnsi="Arial" w:cs="Arial"/>
                <w:sz w:val="22"/>
                <w:szCs w:val="22"/>
              </w:rPr>
              <w:t>Underpinning the direction of reflective conversations they can engage in with self, others and theoretical literature are situated the different types of question, identified earlier, they might ask.</w:t>
            </w:r>
          </w:p>
          <w:p w14:paraId="52A5EA61" w14:textId="77777777" w:rsidR="001142E9" w:rsidRDefault="001142E9">
            <w:pPr>
              <w:widowControl w:val="0"/>
              <w:spacing w:after="0" w:line="240" w:lineRule="auto"/>
              <w:contextualSpacing/>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A62" w14:textId="77777777" w:rsidR="001142E9" w:rsidRDefault="002B3BB7">
            <w:pPr>
              <w:widowControl w:val="0"/>
              <w:spacing w:after="0" w:line="240" w:lineRule="auto"/>
              <w:rPr>
                <w:rFonts w:ascii="Arial" w:hAnsi="Arial" w:cs="Arial"/>
                <w:color w:val="000000"/>
                <w:sz w:val="22"/>
                <w:szCs w:val="22"/>
              </w:rPr>
            </w:pPr>
            <w:r>
              <w:rPr>
                <w:rFonts w:ascii="Arial" w:hAnsi="Arial" w:cs="Arial"/>
                <w:sz w:val="22"/>
                <w:szCs w:val="22"/>
              </w:rPr>
              <w:t xml:space="preserve">Close paraphrase, followed by reference; then verbatim text </w:t>
            </w:r>
          </w:p>
        </w:tc>
        <w:tc>
          <w:tcPr>
            <w:tcW w:w="1913" w:type="dxa"/>
            <w:tcBorders>
              <w:top w:val="single" w:sz="4" w:space="0" w:color="000000"/>
              <w:left w:val="single" w:sz="4" w:space="0" w:color="000000"/>
              <w:bottom w:val="single" w:sz="4" w:space="0" w:color="000000"/>
              <w:right w:val="single" w:sz="4" w:space="0" w:color="000000"/>
            </w:tcBorders>
          </w:tcPr>
          <w:p w14:paraId="52A5EA63" w14:textId="77777777" w:rsidR="001142E9" w:rsidRDefault="002B3BB7">
            <w:pPr>
              <w:widowControl w:val="0"/>
              <w:spacing w:after="0" w:line="240" w:lineRule="auto"/>
              <w:rPr>
                <w:rFonts w:ascii="Arial" w:hAnsi="Arial" w:cs="Arial"/>
                <w:color w:val="000000"/>
                <w:sz w:val="22"/>
                <w:szCs w:val="22"/>
              </w:rPr>
            </w:pPr>
            <w:r>
              <w:rPr>
                <w:rFonts w:ascii="Arial" w:hAnsi="Arial" w:cs="Arial"/>
                <w:sz w:val="22"/>
                <w:szCs w:val="22"/>
              </w:rPr>
              <w:t>‘</w:t>
            </w:r>
            <w:r>
              <w:rPr>
                <w:rFonts w:ascii="Arial" w:hAnsi="Arial" w:cs="Arial"/>
                <w:sz w:val="22"/>
                <w:szCs w:val="22"/>
              </w:rPr>
              <w:t>Underpinning the direction of reflective conversations’ in both Arday and Z-M; Arday adds ‘in attempting to answer different….” at the end.</w:t>
            </w:r>
          </w:p>
        </w:tc>
      </w:tr>
      <w:tr w:rsidR="001142E9" w14:paraId="52A5EA6E" w14:textId="77777777">
        <w:tc>
          <w:tcPr>
            <w:tcW w:w="845" w:type="dxa"/>
            <w:tcBorders>
              <w:top w:val="single" w:sz="4" w:space="0" w:color="000000"/>
              <w:left w:val="single" w:sz="4" w:space="0" w:color="000000"/>
              <w:bottom w:val="single" w:sz="4" w:space="0" w:color="000000"/>
              <w:right w:val="single" w:sz="4" w:space="0" w:color="000000"/>
            </w:tcBorders>
          </w:tcPr>
          <w:p w14:paraId="52A5EA65"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lastRenderedPageBreak/>
              <w:t>46</w:t>
            </w:r>
          </w:p>
        </w:tc>
        <w:tc>
          <w:tcPr>
            <w:tcW w:w="937" w:type="dxa"/>
            <w:tcBorders>
              <w:top w:val="single" w:sz="4" w:space="0" w:color="000000"/>
              <w:left w:val="single" w:sz="4" w:space="0" w:color="000000"/>
              <w:bottom w:val="single" w:sz="4" w:space="0" w:color="000000"/>
              <w:right w:val="single" w:sz="4" w:space="0" w:color="000000"/>
            </w:tcBorders>
          </w:tcPr>
          <w:p w14:paraId="52A5EA66"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18</w:t>
            </w:r>
          </w:p>
        </w:tc>
        <w:tc>
          <w:tcPr>
            <w:tcW w:w="4309" w:type="dxa"/>
            <w:tcBorders>
              <w:top w:val="single" w:sz="4" w:space="0" w:color="000000"/>
              <w:left w:val="single" w:sz="4" w:space="0" w:color="000000"/>
              <w:bottom w:val="single" w:sz="4" w:space="0" w:color="000000"/>
              <w:right w:val="single" w:sz="4" w:space="0" w:color="000000"/>
            </w:tcBorders>
          </w:tcPr>
          <w:p w14:paraId="52A5EA67" w14:textId="77777777" w:rsidR="001142E9" w:rsidRDefault="002B3BB7">
            <w:pPr>
              <w:widowControl w:val="0"/>
              <w:contextualSpacing/>
              <w:rPr>
                <w:rFonts w:ascii="Arial" w:hAnsi="Arial" w:cs="Arial"/>
                <w:sz w:val="22"/>
                <w:szCs w:val="22"/>
              </w:rPr>
            </w:pPr>
            <w:r>
              <w:rPr>
                <w:rFonts w:ascii="Arial" w:hAnsi="Arial" w:cs="Arial"/>
                <w:sz w:val="22"/>
                <w:szCs w:val="22"/>
              </w:rPr>
              <w:t xml:space="preserve">However, research studies (Kensington-Miller, 2011; Le Cornu, 2005; Zwozdiak-Myers, 2009) highlighting qualitative distinctions in student teachers’ reflective practice have shown critical reflective conversations are far less frequent than descriptive reflective conversations, as their principle concern focuses on the development of subject matter knowledge and pedagogical content knowledge (Hatton and Smith, 1995; Macdonald and Brooker, 1999; Tsangaridou, 2005). </w:t>
            </w:r>
          </w:p>
          <w:p w14:paraId="52A5EA68" w14:textId="77777777" w:rsidR="001142E9" w:rsidRDefault="001142E9">
            <w:pPr>
              <w:widowControl w:val="0"/>
              <w:spacing w:after="0" w:line="240" w:lineRule="auto"/>
              <w:contextualSpacing/>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A69" w14:textId="77777777" w:rsidR="001142E9" w:rsidRDefault="002B3BB7">
            <w:pPr>
              <w:widowControl w:val="0"/>
              <w:contextualSpacing/>
              <w:rPr>
                <w:rFonts w:ascii="Arial" w:hAnsi="Arial" w:cs="Arial"/>
                <w:sz w:val="22"/>
                <w:szCs w:val="22"/>
              </w:rPr>
            </w:pPr>
            <w:r>
              <w:rPr>
                <w:rFonts w:ascii="Arial" w:hAnsi="Arial" w:cs="Arial"/>
                <w:sz w:val="22"/>
                <w:szCs w:val="22"/>
              </w:rPr>
              <w:t xml:space="preserve">However, research studies highlighting qualitative distinctions in student teachers” reflective practice have shown critical reflective conversations are far less frequent than descriptive reflective conversations, as their principle concerns focus on the development of subject matter knowledge and pedagogical content knowledge (Hatton and Smith, 1995; Macdonald and Brooker, 1999; Tsangaridou, 2005) (see section 2.10). </w:t>
            </w:r>
          </w:p>
          <w:p w14:paraId="52A5EA6A" w14:textId="77777777" w:rsidR="001142E9" w:rsidRDefault="001142E9">
            <w:pPr>
              <w:widowControl w:val="0"/>
              <w:contextualSpacing/>
              <w:rPr>
                <w:rFonts w:ascii="Arial" w:hAnsi="Arial" w:cs="Arial"/>
                <w:sz w:val="22"/>
                <w:szCs w:val="22"/>
              </w:rPr>
            </w:pPr>
          </w:p>
          <w:p w14:paraId="52A5EA6B" w14:textId="77777777" w:rsidR="001142E9" w:rsidRDefault="001142E9">
            <w:pPr>
              <w:widowControl w:val="0"/>
              <w:spacing w:after="0" w:line="240" w:lineRule="auto"/>
              <w:contextualSpacing/>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A6C"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Verbatim, followed by insertion of references; followed by use of identical literature list</w:t>
            </w:r>
          </w:p>
        </w:tc>
        <w:tc>
          <w:tcPr>
            <w:tcW w:w="1913" w:type="dxa"/>
            <w:tcBorders>
              <w:top w:val="single" w:sz="4" w:space="0" w:color="000000"/>
              <w:left w:val="single" w:sz="4" w:space="0" w:color="000000"/>
              <w:bottom w:val="single" w:sz="4" w:space="0" w:color="000000"/>
              <w:right w:val="single" w:sz="4" w:space="0" w:color="000000"/>
            </w:tcBorders>
          </w:tcPr>
          <w:p w14:paraId="52A5EA6D"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 xml:space="preserve">Z-M’s 2009 thesis is referenced, alongside Le Cornu; second literature lists uses Hatton and Smith, Macdonald and Brooker, Tsangaridou </w:t>
            </w:r>
          </w:p>
        </w:tc>
      </w:tr>
      <w:tr w:rsidR="001142E9" w14:paraId="52A5EA75" w14:textId="77777777">
        <w:tc>
          <w:tcPr>
            <w:tcW w:w="845" w:type="dxa"/>
            <w:tcBorders>
              <w:top w:val="single" w:sz="4" w:space="0" w:color="000000"/>
              <w:left w:val="single" w:sz="4" w:space="0" w:color="000000"/>
              <w:bottom w:val="single" w:sz="4" w:space="0" w:color="000000"/>
              <w:right w:val="single" w:sz="4" w:space="0" w:color="000000"/>
            </w:tcBorders>
          </w:tcPr>
          <w:p w14:paraId="52A5EA6F"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46-47</w:t>
            </w:r>
          </w:p>
        </w:tc>
        <w:tc>
          <w:tcPr>
            <w:tcW w:w="937" w:type="dxa"/>
            <w:tcBorders>
              <w:top w:val="single" w:sz="4" w:space="0" w:color="000000"/>
              <w:left w:val="single" w:sz="4" w:space="0" w:color="000000"/>
              <w:bottom w:val="single" w:sz="4" w:space="0" w:color="000000"/>
              <w:right w:val="single" w:sz="4" w:space="0" w:color="000000"/>
            </w:tcBorders>
          </w:tcPr>
          <w:p w14:paraId="52A5EA70"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18</w:t>
            </w:r>
          </w:p>
        </w:tc>
        <w:tc>
          <w:tcPr>
            <w:tcW w:w="4309" w:type="dxa"/>
            <w:tcBorders>
              <w:top w:val="single" w:sz="4" w:space="0" w:color="000000"/>
              <w:left w:val="single" w:sz="4" w:space="0" w:color="000000"/>
              <w:bottom w:val="single" w:sz="4" w:space="0" w:color="000000"/>
              <w:right w:val="single" w:sz="4" w:space="0" w:color="000000"/>
            </w:tcBorders>
          </w:tcPr>
          <w:p w14:paraId="52A5EA71" w14:textId="77777777" w:rsidR="001142E9" w:rsidRDefault="002B3BB7">
            <w:pPr>
              <w:widowControl w:val="0"/>
              <w:contextualSpacing/>
              <w:rPr>
                <w:rFonts w:ascii="Arial" w:hAnsi="Arial" w:cs="Arial"/>
                <w:sz w:val="22"/>
                <w:szCs w:val="22"/>
              </w:rPr>
            </w:pPr>
            <w:r>
              <w:rPr>
                <w:rFonts w:ascii="Arial" w:hAnsi="Arial" w:cs="Arial"/>
                <w:sz w:val="22"/>
                <w:szCs w:val="22"/>
              </w:rPr>
              <w:t>Tsangaridou (2005) implies that student teachers will be at varying stages in their professional development, and may require more directional influence or guidance, in relation to positioning their own teaching practice within the wider professional landscape of ideological and political contexts.</w:t>
            </w:r>
          </w:p>
        </w:tc>
        <w:tc>
          <w:tcPr>
            <w:tcW w:w="4251" w:type="dxa"/>
            <w:tcBorders>
              <w:top w:val="single" w:sz="4" w:space="0" w:color="000000"/>
              <w:left w:val="single" w:sz="4" w:space="0" w:color="000000"/>
              <w:bottom w:val="single" w:sz="4" w:space="0" w:color="000000"/>
              <w:right w:val="single" w:sz="4" w:space="0" w:color="000000"/>
            </w:tcBorders>
          </w:tcPr>
          <w:p w14:paraId="52A5EA72"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This implies that some student teachers are at different stages in their professional development and might need more guidance than others in relation to positioning their own teaching within the wider professional landscape of ideological and political contexts.</w:t>
            </w:r>
          </w:p>
        </w:tc>
        <w:tc>
          <w:tcPr>
            <w:tcW w:w="1702" w:type="dxa"/>
            <w:tcBorders>
              <w:top w:val="single" w:sz="4" w:space="0" w:color="000000"/>
              <w:left w:val="single" w:sz="4" w:space="0" w:color="000000"/>
              <w:bottom w:val="single" w:sz="4" w:space="0" w:color="000000"/>
              <w:right w:val="single" w:sz="4" w:space="0" w:color="000000"/>
            </w:tcBorders>
          </w:tcPr>
          <w:p w14:paraId="52A5EA73"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Near-verbatim text followed by insertion of words, followed by verbatim text</w:t>
            </w:r>
          </w:p>
        </w:tc>
        <w:tc>
          <w:tcPr>
            <w:tcW w:w="1913" w:type="dxa"/>
            <w:tcBorders>
              <w:top w:val="single" w:sz="4" w:space="0" w:color="000000"/>
              <w:left w:val="single" w:sz="4" w:space="0" w:color="000000"/>
              <w:bottom w:val="single" w:sz="4" w:space="0" w:color="000000"/>
              <w:right w:val="single" w:sz="4" w:space="0" w:color="000000"/>
            </w:tcBorders>
          </w:tcPr>
          <w:p w14:paraId="52A5EA74" w14:textId="77777777" w:rsidR="001142E9" w:rsidRDefault="002B3BB7">
            <w:pPr>
              <w:widowControl w:val="0"/>
              <w:spacing w:after="0" w:line="240" w:lineRule="auto"/>
              <w:contextualSpacing/>
              <w:rPr>
                <w:rFonts w:ascii="Arial" w:hAnsi="Arial" w:cs="Arial"/>
                <w:color w:val="000000"/>
                <w:sz w:val="22"/>
                <w:szCs w:val="22"/>
              </w:rPr>
            </w:pPr>
            <w:r>
              <w:rPr>
                <w:rFonts w:ascii="Arial" w:hAnsi="Arial" w:cs="Arial"/>
                <w:sz w:val="22"/>
                <w:szCs w:val="22"/>
              </w:rPr>
              <w:t>‘More guidance’ in Z-M is replaced by ‘more directional influence or guidance’</w:t>
            </w:r>
          </w:p>
        </w:tc>
      </w:tr>
      <w:tr w:rsidR="001142E9" w14:paraId="52A5EA7E" w14:textId="77777777">
        <w:tc>
          <w:tcPr>
            <w:tcW w:w="845" w:type="dxa"/>
            <w:tcBorders>
              <w:top w:val="single" w:sz="4" w:space="0" w:color="000000"/>
              <w:left w:val="single" w:sz="4" w:space="0" w:color="000000"/>
              <w:bottom w:val="single" w:sz="4" w:space="0" w:color="000000"/>
              <w:right w:val="single" w:sz="4" w:space="0" w:color="000000"/>
            </w:tcBorders>
          </w:tcPr>
          <w:p w14:paraId="52A5EA76"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53</w:t>
            </w:r>
          </w:p>
        </w:tc>
        <w:tc>
          <w:tcPr>
            <w:tcW w:w="937" w:type="dxa"/>
            <w:tcBorders>
              <w:top w:val="single" w:sz="4" w:space="0" w:color="000000"/>
              <w:left w:val="single" w:sz="4" w:space="0" w:color="000000"/>
              <w:bottom w:val="single" w:sz="4" w:space="0" w:color="000000"/>
              <w:right w:val="single" w:sz="4" w:space="0" w:color="000000"/>
            </w:tcBorders>
          </w:tcPr>
          <w:p w14:paraId="52A5EA77"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29</w:t>
            </w:r>
          </w:p>
        </w:tc>
        <w:tc>
          <w:tcPr>
            <w:tcW w:w="4309" w:type="dxa"/>
            <w:tcBorders>
              <w:top w:val="single" w:sz="4" w:space="0" w:color="000000"/>
              <w:left w:val="single" w:sz="4" w:space="0" w:color="000000"/>
              <w:bottom w:val="single" w:sz="4" w:space="0" w:color="000000"/>
              <w:right w:val="single" w:sz="4" w:space="0" w:color="000000"/>
            </w:tcBorders>
          </w:tcPr>
          <w:p w14:paraId="52A5EA78" w14:textId="77777777" w:rsidR="001142E9" w:rsidRDefault="002B3BB7">
            <w:pPr>
              <w:widowControl w:val="0"/>
              <w:contextualSpacing/>
              <w:rPr>
                <w:rFonts w:ascii="Arial" w:hAnsi="Arial" w:cs="Arial"/>
                <w:sz w:val="22"/>
                <w:szCs w:val="22"/>
              </w:rPr>
            </w:pPr>
            <w:r>
              <w:rPr>
                <w:rFonts w:ascii="Arial" w:hAnsi="Arial" w:cs="Arial"/>
                <w:sz w:val="22"/>
                <w:szCs w:val="22"/>
              </w:rPr>
              <w:t xml:space="preserve">An issue, which has arisen from Dewey’s conceptualisation of reflective action and its subsequent interpretation within initial teacher education concerns whether </w:t>
            </w:r>
            <w:r>
              <w:rPr>
                <w:rFonts w:ascii="Arial" w:hAnsi="Arial" w:cs="Arial"/>
                <w:sz w:val="22"/>
                <w:szCs w:val="22"/>
              </w:rPr>
              <w:lastRenderedPageBreak/>
              <w:t xml:space="preserve">reflection is limited to thought processes about action, or is more inextricably bound within an action (Noffke and Brennan, 1988; Noffke and Zeichner, 1987; Grant and Zeichner, 1984). </w:t>
            </w:r>
          </w:p>
          <w:p w14:paraId="52A5EA79" w14:textId="77777777" w:rsidR="001142E9" w:rsidRDefault="001142E9">
            <w:pPr>
              <w:widowControl w:val="0"/>
              <w:contextualSpacing/>
              <w:rPr>
                <w:rFonts w:ascii="Arial" w:hAnsi="Arial" w:cs="Arial"/>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A7A" w14:textId="77777777" w:rsidR="001142E9" w:rsidRDefault="002B3BB7">
            <w:pPr>
              <w:widowControl w:val="0"/>
              <w:contextualSpacing/>
              <w:rPr>
                <w:rFonts w:ascii="Arial" w:hAnsi="Arial" w:cs="Arial"/>
                <w:sz w:val="22"/>
                <w:szCs w:val="22"/>
              </w:rPr>
            </w:pPr>
            <w:r>
              <w:rPr>
                <w:rFonts w:ascii="Arial" w:hAnsi="Arial" w:cs="Arial"/>
                <w:sz w:val="22"/>
                <w:szCs w:val="22"/>
              </w:rPr>
              <w:lastRenderedPageBreak/>
              <w:t xml:space="preserve">An issue, which has arisen from Dewey’s conceptualisation of reflective action and its subsequent interpretation within initial teacher education concerns whether </w:t>
            </w:r>
            <w:r>
              <w:rPr>
                <w:rFonts w:ascii="Arial" w:hAnsi="Arial" w:cs="Arial"/>
                <w:sz w:val="22"/>
                <w:szCs w:val="22"/>
              </w:rPr>
              <w:lastRenderedPageBreak/>
              <w:t xml:space="preserve">reflection is limited to thought processes about action, or is more inextricably bound within an action (Noffke and Brennan, 1988; Grant and Zeichner, 1984). </w:t>
            </w:r>
          </w:p>
          <w:p w14:paraId="52A5EA7B" w14:textId="77777777" w:rsidR="001142E9" w:rsidRDefault="001142E9">
            <w:pPr>
              <w:widowControl w:val="0"/>
              <w:spacing w:after="0" w:line="240" w:lineRule="auto"/>
              <w:contextualSpacing/>
              <w:rPr>
                <w:rFonts w:ascii="Arial" w:hAnsi="Arial" w:cs="Arial"/>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A7C"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lastRenderedPageBreak/>
              <w:t>Verbatim text, uses Z-M’s literature list and references</w:t>
            </w:r>
          </w:p>
        </w:tc>
        <w:tc>
          <w:tcPr>
            <w:tcW w:w="1913" w:type="dxa"/>
            <w:tcBorders>
              <w:top w:val="single" w:sz="4" w:space="0" w:color="000000"/>
              <w:left w:val="single" w:sz="4" w:space="0" w:color="000000"/>
              <w:bottom w:val="single" w:sz="4" w:space="0" w:color="000000"/>
              <w:right w:val="single" w:sz="4" w:space="0" w:color="000000"/>
            </w:tcBorders>
          </w:tcPr>
          <w:p w14:paraId="52A5EA7D"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 xml:space="preserve">Note insertion of Noffke and Zeichner, 1987 into Z-M’s curated literature </w:t>
            </w:r>
            <w:r>
              <w:rPr>
                <w:rFonts w:ascii="Arial" w:hAnsi="Arial" w:cs="Arial"/>
                <w:sz w:val="22"/>
                <w:szCs w:val="22"/>
              </w:rPr>
              <w:lastRenderedPageBreak/>
              <w:t>list</w:t>
            </w:r>
          </w:p>
        </w:tc>
      </w:tr>
      <w:tr w:rsidR="001142E9" w14:paraId="52A5EA86" w14:textId="77777777">
        <w:tc>
          <w:tcPr>
            <w:tcW w:w="845" w:type="dxa"/>
            <w:tcBorders>
              <w:top w:val="single" w:sz="4" w:space="0" w:color="000000"/>
              <w:left w:val="single" w:sz="4" w:space="0" w:color="000000"/>
              <w:bottom w:val="single" w:sz="4" w:space="0" w:color="000000"/>
              <w:right w:val="single" w:sz="4" w:space="0" w:color="000000"/>
            </w:tcBorders>
          </w:tcPr>
          <w:p w14:paraId="52A5EA7F"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lastRenderedPageBreak/>
              <w:t>53</w:t>
            </w:r>
          </w:p>
        </w:tc>
        <w:tc>
          <w:tcPr>
            <w:tcW w:w="937" w:type="dxa"/>
            <w:tcBorders>
              <w:top w:val="single" w:sz="4" w:space="0" w:color="000000"/>
              <w:left w:val="single" w:sz="4" w:space="0" w:color="000000"/>
              <w:bottom w:val="single" w:sz="4" w:space="0" w:color="000000"/>
              <w:right w:val="single" w:sz="4" w:space="0" w:color="000000"/>
            </w:tcBorders>
          </w:tcPr>
          <w:p w14:paraId="52A5EA80"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29</w:t>
            </w:r>
          </w:p>
        </w:tc>
        <w:tc>
          <w:tcPr>
            <w:tcW w:w="4309" w:type="dxa"/>
            <w:tcBorders>
              <w:top w:val="single" w:sz="4" w:space="0" w:color="000000"/>
              <w:left w:val="single" w:sz="4" w:space="0" w:color="000000"/>
              <w:bottom w:val="single" w:sz="4" w:space="0" w:color="000000"/>
              <w:right w:val="single" w:sz="4" w:space="0" w:color="000000"/>
            </w:tcBorders>
          </w:tcPr>
          <w:p w14:paraId="52A5EA81" w14:textId="77777777" w:rsidR="001142E9" w:rsidRDefault="002B3BB7">
            <w:pPr>
              <w:widowControl w:val="0"/>
              <w:contextualSpacing/>
              <w:rPr>
                <w:rFonts w:ascii="Arial" w:hAnsi="Arial" w:cs="Arial"/>
                <w:sz w:val="22"/>
                <w:szCs w:val="22"/>
              </w:rPr>
            </w:pPr>
            <w:r>
              <w:rPr>
                <w:rFonts w:ascii="Arial" w:hAnsi="Arial" w:cs="Arial"/>
                <w:sz w:val="22"/>
                <w:szCs w:val="22"/>
              </w:rPr>
              <w:t>There is some evidence to suggest some support for the view that reflection is a distinctive form of thought (McNamara, 1990; Sparks-Langer and Colton, 1991) with regards to reflective thinking and reflective action, with the latter distinguished as a cycle of professional ‘doing’ which is informed and underpinned by modifications to practice stimulated by reflective actions (Noffke and Brennan, 1991; Gore and Zeichner, 1995).</w:t>
            </w:r>
          </w:p>
        </w:tc>
        <w:tc>
          <w:tcPr>
            <w:tcW w:w="4251" w:type="dxa"/>
            <w:tcBorders>
              <w:top w:val="single" w:sz="4" w:space="0" w:color="000000"/>
              <w:left w:val="single" w:sz="4" w:space="0" w:color="000000"/>
              <w:bottom w:val="single" w:sz="4" w:space="0" w:color="000000"/>
              <w:right w:val="single" w:sz="4" w:space="0" w:color="000000"/>
            </w:tcBorders>
          </w:tcPr>
          <w:p w14:paraId="52A5EA82" w14:textId="77777777" w:rsidR="001142E9" w:rsidRDefault="002B3BB7">
            <w:pPr>
              <w:widowControl w:val="0"/>
              <w:contextualSpacing/>
              <w:rPr>
                <w:rFonts w:ascii="Arial" w:hAnsi="Arial" w:cs="Arial"/>
                <w:sz w:val="22"/>
                <w:szCs w:val="22"/>
              </w:rPr>
            </w:pPr>
            <w:r>
              <w:rPr>
                <w:rFonts w:ascii="Arial" w:hAnsi="Arial" w:cs="Arial"/>
                <w:sz w:val="22"/>
                <w:szCs w:val="22"/>
              </w:rPr>
              <w:t xml:space="preserve">There appears to be support for the view that reflection is a special form of thought (McNamara, 1990; Sparks-Langer and Colton, 1991; Waxman et.al. 1988) both in terms of reflective thinking and reflective action, and the latter can be distinguished when the cycle of professional “doing” is informed by reflection which gives rise to a modification in subsequent action (Noffke and Brennan, 1991; Gore and Zeichner, 1995). </w:t>
            </w:r>
          </w:p>
          <w:p w14:paraId="52A5EA83" w14:textId="77777777" w:rsidR="001142E9" w:rsidRDefault="001142E9">
            <w:pPr>
              <w:widowControl w:val="0"/>
              <w:spacing w:after="0" w:line="240" w:lineRule="auto"/>
              <w:contextualSpacing/>
              <w:rPr>
                <w:rFonts w:ascii="Arial" w:hAnsi="Arial" w:cs="Arial"/>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A84"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Verbatim text with some paraphrase; use of Z-M literature list; close paraphrase</w:t>
            </w:r>
          </w:p>
        </w:tc>
        <w:tc>
          <w:tcPr>
            <w:tcW w:w="1913" w:type="dxa"/>
            <w:tcBorders>
              <w:top w:val="single" w:sz="4" w:space="0" w:color="000000"/>
              <w:left w:val="single" w:sz="4" w:space="0" w:color="000000"/>
              <w:bottom w:val="single" w:sz="4" w:space="0" w:color="000000"/>
              <w:right w:val="single" w:sz="4" w:space="0" w:color="000000"/>
            </w:tcBorders>
          </w:tcPr>
          <w:p w14:paraId="52A5EA85"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 xml:space="preserve">Note insertion of Waxman into literature list; similar words “professional ‘doing’”; </w:t>
            </w:r>
          </w:p>
        </w:tc>
      </w:tr>
      <w:tr w:rsidR="001142E9" w14:paraId="52A5EA8D" w14:textId="77777777">
        <w:tc>
          <w:tcPr>
            <w:tcW w:w="845" w:type="dxa"/>
            <w:tcBorders>
              <w:top w:val="single" w:sz="4" w:space="0" w:color="000000"/>
              <w:left w:val="single" w:sz="4" w:space="0" w:color="000000"/>
              <w:bottom w:val="single" w:sz="4" w:space="0" w:color="000000"/>
              <w:right w:val="single" w:sz="4" w:space="0" w:color="000000"/>
            </w:tcBorders>
          </w:tcPr>
          <w:p w14:paraId="52A5EA87"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53</w:t>
            </w:r>
          </w:p>
        </w:tc>
        <w:tc>
          <w:tcPr>
            <w:tcW w:w="937" w:type="dxa"/>
            <w:tcBorders>
              <w:top w:val="single" w:sz="4" w:space="0" w:color="000000"/>
              <w:left w:val="single" w:sz="4" w:space="0" w:color="000000"/>
              <w:bottom w:val="single" w:sz="4" w:space="0" w:color="000000"/>
              <w:right w:val="single" w:sz="4" w:space="0" w:color="000000"/>
            </w:tcBorders>
          </w:tcPr>
          <w:p w14:paraId="52A5EA88"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29-30</w:t>
            </w:r>
          </w:p>
        </w:tc>
        <w:tc>
          <w:tcPr>
            <w:tcW w:w="4309" w:type="dxa"/>
            <w:tcBorders>
              <w:top w:val="single" w:sz="4" w:space="0" w:color="000000"/>
              <w:left w:val="single" w:sz="4" w:space="0" w:color="000000"/>
              <w:bottom w:val="single" w:sz="4" w:space="0" w:color="000000"/>
              <w:right w:val="single" w:sz="4" w:space="0" w:color="000000"/>
            </w:tcBorders>
          </w:tcPr>
          <w:p w14:paraId="52A5EA89" w14:textId="77777777" w:rsidR="001142E9" w:rsidRDefault="002B3BB7">
            <w:pPr>
              <w:widowControl w:val="0"/>
              <w:contextualSpacing/>
              <w:rPr>
                <w:rFonts w:ascii="Arial" w:hAnsi="Arial" w:cs="Arial"/>
                <w:sz w:val="22"/>
                <w:szCs w:val="22"/>
              </w:rPr>
            </w:pPr>
            <w:r>
              <w:rPr>
                <w:rFonts w:ascii="Arial" w:hAnsi="Arial" w:cs="Arial"/>
                <w:sz w:val="22"/>
                <w:szCs w:val="22"/>
              </w:rPr>
              <w:t>This particular cyclical process resonates with some of the student teachers’ featured in this study, as they engage in the reflective processes inherent within peer-mentoring and action research to subsequently guide their future teaching and pedagogical practices.</w:t>
            </w:r>
          </w:p>
        </w:tc>
        <w:tc>
          <w:tcPr>
            <w:tcW w:w="4251" w:type="dxa"/>
            <w:tcBorders>
              <w:top w:val="single" w:sz="4" w:space="0" w:color="000000"/>
              <w:left w:val="single" w:sz="4" w:space="0" w:color="000000"/>
              <w:bottom w:val="single" w:sz="4" w:space="0" w:color="000000"/>
              <w:right w:val="single" w:sz="4" w:space="0" w:color="000000"/>
            </w:tcBorders>
          </w:tcPr>
          <w:p w14:paraId="52A5EA8A"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This particular cycle should be exemplified by the student teachers featured in this study as they engage in the reflective processes inherent within action research to subsequently guide their future practice.</w:t>
            </w:r>
          </w:p>
        </w:tc>
        <w:tc>
          <w:tcPr>
            <w:tcW w:w="1702" w:type="dxa"/>
            <w:tcBorders>
              <w:top w:val="single" w:sz="4" w:space="0" w:color="000000"/>
              <w:left w:val="single" w:sz="4" w:space="0" w:color="000000"/>
              <w:bottom w:val="single" w:sz="4" w:space="0" w:color="000000"/>
              <w:right w:val="single" w:sz="4" w:space="0" w:color="000000"/>
            </w:tcBorders>
          </w:tcPr>
          <w:p w14:paraId="52A5EA8B"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Verbatim with some close paraphrase</w:t>
            </w:r>
          </w:p>
        </w:tc>
        <w:tc>
          <w:tcPr>
            <w:tcW w:w="1913" w:type="dxa"/>
            <w:tcBorders>
              <w:top w:val="single" w:sz="4" w:space="0" w:color="000000"/>
              <w:left w:val="single" w:sz="4" w:space="0" w:color="000000"/>
              <w:bottom w:val="single" w:sz="4" w:space="0" w:color="000000"/>
              <w:right w:val="single" w:sz="4" w:space="0" w:color="000000"/>
            </w:tcBorders>
          </w:tcPr>
          <w:p w14:paraId="52A5EA8C"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‘cycle’ becomes ‘cyclical process’; ‘future practice’ becomes ‘future teaching and pedagogical practices.’</w:t>
            </w:r>
          </w:p>
        </w:tc>
      </w:tr>
      <w:tr w:rsidR="001142E9" w14:paraId="52A5EA96" w14:textId="77777777">
        <w:tc>
          <w:tcPr>
            <w:tcW w:w="845" w:type="dxa"/>
            <w:tcBorders>
              <w:top w:val="single" w:sz="4" w:space="0" w:color="000000"/>
              <w:left w:val="single" w:sz="4" w:space="0" w:color="000000"/>
              <w:bottom w:val="single" w:sz="4" w:space="0" w:color="000000"/>
              <w:right w:val="single" w:sz="4" w:space="0" w:color="000000"/>
            </w:tcBorders>
          </w:tcPr>
          <w:p w14:paraId="52A5EA8E"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lastRenderedPageBreak/>
              <w:t>53</w:t>
            </w:r>
          </w:p>
        </w:tc>
        <w:tc>
          <w:tcPr>
            <w:tcW w:w="937" w:type="dxa"/>
            <w:tcBorders>
              <w:top w:val="single" w:sz="4" w:space="0" w:color="000000"/>
              <w:left w:val="single" w:sz="4" w:space="0" w:color="000000"/>
              <w:bottom w:val="single" w:sz="4" w:space="0" w:color="000000"/>
              <w:right w:val="single" w:sz="4" w:space="0" w:color="000000"/>
            </w:tcBorders>
          </w:tcPr>
          <w:p w14:paraId="52A5EA8F"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30</w:t>
            </w:r>
          </w:p>
        </w:tc>
        <w:tc>
          <w:tcPr>
            <w:tcW w:w="4309" w:type="dxa"/>
            <w:tcBorders>
              <w:top w:val="single" w:sz="4" w:space="0" w:color="000000"/>
              <w:left w:val="single" w:sz="4" w:space="0" w:color="000000"/>
              <w:bottom w:val="single" w:sz="4" w:space="0" w:color="000000"/>
              <w:right w:val="single" w:sz="4" w:space="0" w:color="000000"/>
            </w:tcBorders>
          </w:tcPr>
          <w:p w14:paraId="52A5EA90" w14:textId="77777777" w:rsidR="001142E9" w:rsidRDefault="002B3BB7">
            <w:pPr>
              <w:widowControl w:val="0"/>
              <w:contextualSpacing/>
              <w:rPr>
                <w:rFonts w:ascii="Arial" w:hAnsi="Arial" w:cs="Arial"/>
                <w:sz w:val="22"/>
                <w:szCs w:val="22"/>
              </w:rPr>
            </w:pPr>
            <w:r>
              <w:rPr>
                <w:rFonts w:ascii="Arial" w:hAnsi="Arial" w:cs="Arial"/>
                <w:sz w:val="22"/>
                <w:szCs w:val="22"/>
              </w:rPr>
              <w:t>Van Manen (1977: 264) advocates that much of teachers’ daily ‘practical’ thinking about practice issues, such as; planning, adapting materials, developing courses, arranging subject matter content, teaching and evaluating’ can be described as technical, contextual, dialectical and routine</w:t>
            </w:r>
          </w:p>
        </w:tc>
        <w:tc>
          <w:tcPr>
            <w:tcW w:w="4251" w:type="dxa"/>
            <w:tcBorders>
              <w:top w:val="single" w:sz="4" w:space="0" w:color="000000"/>
              <w:left w:val="single" w:sz="4" w:space="0" w:color="000000"/>
              <w:bottom w:val="single" w:sz="4" w:space="0" w:color="000000"/>
              <w:right w:val="single" w:sz="4" w:space="0" w:color="000000"/>
            </w:tcBorders>
          </w:tcPr>
          <w:p w14:paraId="52A5EA91" w14:textId="77777777" w:rsidR="001142E9" w:rsidRDefault="002B3BB7">
            <w:pPr>
              <w:widowControl w:val="0"/>
              <w:contextualSpacing/>
              <w:rPr>
                <w:rFonts w:ascii="Arial" w:hAnsi="Arial" w:cs="Arial"/>
                <w:sz w:val="22"/>
                <w:szCs w:val="22"/>
              </w:rPr>
            </w:pPr>
            <w:r>
              <w:rPr>
                <w:rFonts w:ascii="Arial" w:hAnsi="Arial" w:cs="Arial"/>
                <w:sz w:val="22"/>
                <w:szCs w:val="22"/>
              </w:rPr>
              <w:t xml:space="preserve">Van Manen (1977: 264) suggests much of teachers‟ daily “practical” thinking about such issues as “planning, adapting materials, developing courses, arranging subject matter content, teaching and evaluating” can be described as technical and routine </w:t>
            </w:r>
          </w:p>
          <w:p w14:paraId="52A5EA92" w14:textId="77777777" w:rsidR="001142E9" w:rsidRDefault="001142E9">
            <w:pPr>
              <w:widowControl w:val="0"/>
              <w:contextualSpacing/>
              <w:rPr>
                <w:rFonts w:ascii="Arial" w:hAnsi="Arial" w:cs="Arial"/>
                <w:sz w:val="22"/>
                <w:szCs w:val="22"/>
              </w:rPr>
            </w:pPr>
          </w:p>
          <w:p w14:paraId="52A5EA93" w14:textId="77777777" w:rsidR="001142E9" w:rsidRDefault="001142E9">
            <w:pPr>
              <w:widowControl w:val="0"/>
              <w:spacing w:after="0" w:line="240" w:lineRule="auto"/>
              <w:contextualSpacing/>
              <w:rPr>
                <w:rFonts w:ascii="Arial" w:hAnsi="Arial" w:cs="Arial"/>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A94"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Verbatim text and reference; renders quotation of Van Manen differently</w:t>
            </w:r>
          </w:p>
        </w:tc>
        <w:tc>
          <w:tcPr>
            <w:tcW w:w="1913" w:type="dxa"/>
            <w:tcBorders>
              <w:top w:val="single" w:sz="4" w:space="0" w:color="000000"/>
              <w:left w:val="single" w:sz="4" w:space="0" w:color="000000"/>
              <w:bottom w:val="single" w:sz="4" w:space="0" w:color="000000"/>
              <w:right w:val="single" w:sz="4" w:space="0" w:color="000000"/>
            </w:tcBorders>
          </w:tcPr>
          <w:p w14:paraId="52A5EA95"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‘technical and routine’ becomes ‘technical, contextual, dialectical and routine’</w:t>
            </w:r>
          </w:p>
        </w:tc>
      </w:tr>
      <w:tr w:rsidR="001142E9" w14:paraId="52A5EAA1" w14:textId="77777777">
        <w:tc>
          <w:tcPr>
            <w:tcW w:w="845" w:type="dxa"/>
            <w:tcBorders>
              <w:top w:val="single" w:sz="4" w:space="0" w:color="000000"/>
              <w:left w:val="single" w:sz="4" w:space="0" w:color="000000"/>
              <w:bottom w:val="single" w:sz="4" w:space="0" w:color="000000"/>
              <w:right w:val="single" w:sz="4" w:space="0" w:color="000000"/>
            </w:tcBorders>
          </w:tcPr>
          <w:p w14:paraId="52A5EA97"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53</w:t>
            </w:r>
          </w:p>
        </w:tc>
        <w:tc>
          <w:tcPr>
            <w:tcW w:w="937" w:type="dxa"/>
            <w:tcBorders>
              <w:top w:val="single" w:sz="4" w:space="0" w:color="000000"/>
              <w:left w:val="single" w:sz="4" w:space="0" w:color="000000"/>
              <w:bottom w:val="single" w:sz="4" w:space="0" w:color="000000"/>
              <w:right w:val="single" w:sz="4" w:space="0" w:color="000000"/>
            </w:tcBorders>
          </w:tcPr>
          <w:p w14:paraId="52A5EA98"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31</w:t>
            </w:r>
          </w:p>
        </w:tc>
        <w:tc>
          <w:tcPr>
            <w:tcW w:w="4309" w:type="dxa"/>
            <w:tcBorders>
              <w:top w:val="single" w:sz="4" w:space="0" w:color="000000"/>
              <w:left w:val="single" w:sz="4" w:space="0" w:color="000000"/>
              <w:bottom w:val="single" w:sz="4" w:space="0" w:color="000000"/>
              <w:right w:val="single" w:sz="4" w:space="0" w:color="000000"/>
            </w:tcBorders>
          </w:tcPr>
          <w:p w14:paraId="52A5EA99" w14:textId="77777777" w:rsidR="001142E9" w:rsidRDefault="002B3BB7">
            <w:pPr>
              <w:pStyle w:val="p1"/>
              <w:widowControl w:val="0"/>
              <w:contextualSpacing/>
              <w:rPr>
                <w:rFonts w:ascii="Arial" w:hAnsi="Arial" w:cs="Arial"/>
                <w:sz w:val="22"/>
                <w:szCs w:val="22"/>
              </w:rPr>
            </w:pPr>
            <w:r>
              <w:rPr>
                <w:rFonts w:ascii="Arial" w:hAnsi="Arial" w:cs="Arial"/>
                <w:sz w:val="22"/>
                <w:szCs w:val="22"/>
              </w:rPr>
              <w:t>Tinning (1995: 27) draws a parallel between Van Manen’s interpretation of technical reflection and the first level of reflective teaching identified</w:t>
            </w:r>
          </w:p>
          <w:p w14:paraId="52A5EA9A" w14:textId="77777777" w:rsidR="001142E9" w:rsidRDefault="002B3BB7">
            <w:pPr>
              <w:pStyle w:val="p1"/>
              <w:widowControl w:val="0"/>
              <w:contextualSpacing/>
              <w:rPr>
                <w:rFonts w:ascii="Arial" w:hAnsi="Arial" w:cs="Arial"/>
                <w:sz w:val="22"/>
                <w:szCs w:val="22"/>
              </w:rPr>
            </w:pPr>
            <w:r>
              <w:rPr>
                <w:rFonts w:ascii="Arial" w:hAnsi="Arial" w:cs="Arial"/>
                <w:sz w:val="22"/>
                <w:szCs w:val="22"/>
              </w:rPr>
              <w:t>by Grimmett et al., (1990), which applies research findings to practice and essentially represents thoughtfulness about action.</w:t>
            </w:r>
            <w:r>
              <w:rPr>
                <w:rStyle w:val="apple-converted-space"/>
                <w:rFonts w:ascii="Arial" w:eastAsiaTheme="majorEastAsia" w:hAnsi="Arial" w:cs="Arial"/>
                <w:sz w:val="22"/>
                <w:szCs w:val="22"/>
              </w:rPr>
              <w:t> </w:t>
            </w:r>
          </w:p>
          <w:p w14:paraId="52A5EA9B" w14:textId="77777777" w:rsidR="001142E9" w:rsidRDefault="001142E9">
            <w:pPr>
              <w:widowControl w:val="0"/>
              <w:contextualSpacing/>
              <w:rPr>
                <w:rFonts w:ascii="Arial" w:hAnsi="Arial" w:cs="Arial"/>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A9C" w14:textId="77777777" w:rsidR="001142E9" w:rsidRDefault="002B3BB7">
            <w:pPr>
              <w:pStyle w:val="p1"/>
              <w:widowControl w:val="0"/>
              <w:contextualSpacing/>
              <w:rPr>
                <w:rFonts w:ascii="Arial" w:hAnsi="Arial" w:cs="Arial"/>
                <w:sz w:val="22"/>
                <w:szCs w:val="22"/>
              </w:rPr>
            </w:pPr>
            <w:r>
              <w:rPr>
                <w:rFonts w:ascii="Arial" w:hAnsi="Arial" w:cs="Arial"/>
                <w:sz w:val="22"/>
                <w:szCs w:val="22"/>
              </w:rPr>
              <w:t>Tinning (1995: 27) draws a parallel between van Manen‟s interpretation of critical reflection and the third level of reflective teaching identified by Grimmett et al. (1990) in which “new understandings of previously</w:t>
            </w:r>
          </w:p>
          <w:p w14:paraId="52A5EA9D" w14:textId="77777777" w:rsidR="001142E9" w:rsidRDefault="002B3BB7">
            <w:pPr>
              <w:pStyle w:val="p1"/>
              <w:widowControl w:val="0"/>
              <w:contextualSpacing/>
              <w:rPr>
                <w:rFonts w:ascii="Arial" w:hAnsi="Arial" w:cs="Arial"/>
                <w:sz w:val="22"/>
                <w:szCs w:val="22"/>
              </w:rPr>
            </w:pPr>
            <w:r>
              <w:rPr>
                <w:rFonts w:ascii="Arial" w:hAnsi="Arial" w:cs="Arial"/>
                <w:sz w:val="22"/>
                <w:szCs w:val="22"/>
              </w:rPr>
              <w:t>taken-for-granted assumptions about practice are developed‟.</w:t>
            </w:r>
            <w:r>
              <w:rPr>
                <w:rStyle w:val="apple-converted-space"/>
                <w:rFonts w:ascii="Arial" w:eastAsiaTheme="majorEastAsia" w:hAnsi="Arial" w:cs="Arial"/>
                <w:sz w:val="22"/>
                <w:szCs w:val="22"/>
              </w:rPr>
              <w:t> </w:t>
            </w:r>
          </w:p>
          <w:p w14:paraId="52A5EA9E" w14:textId="77777777" w:rsidR="001142E9" w:rsidRDefault="001142E9">
            <w:pPr>
              <w:widowControl w:val="0"/>
              <w:spacing w:after="0" w:line="240" w:lineRule="auto"/>
              <w:contextualSpacing/>
              <w:rPr>
                <w:rFonts w:ascii="Arial" w:hAnsi="Arial" w:cs="Arial"/>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A9F"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 xml:space="preserve">Identical reference and verbatim/near verbatim text, </w:t>
            </w:r>
          </w:p>
        </w:tc>
        <w:tc>
          <w:tcPr>
            <w:tcW w:w="1913" w:type="dxa"/>
            <w:tcBorders>
              <w:top w:val="single" w:sz="4" w:space="0" w:color="000000"/>
              <w:left w:val="single" w:sz="4" w:space="0" w:color="000000"/>
              <w:bottom w:val="single" w:sz="4" w:space="0" w:color="000000"/>
              <w:right w:val="single" w:sz="4" w:space="0" w:color="000000"/>
            </w:tcBorders>
          </w:tcPr>
          <w:p w14:paraId="52A5EAA0" w14:textId="77777777" w:rsidR="001142E9" w:rsidRDefault="002B3BB7">
            <w:pPr>
              <w:widowControl w:val="0"/>
              <w:spacing w:after="0" w:line="240" w:lineRule="auto"/>
              <w:contextualSpacing/>
              <w:rPr>
                <w:rFonts w:ascii="Arial" w:hAnsi="Arial" w:cs="Arial"/>
                <w:sz w:val="22"/>
                <w:szCs w:val="22"/>
              </w:rPr>
            </w:pPr>
            <w:r>
              <w:rPr>
                <w:rFonts w:ascii="Arial" w:hAnsi="Arial" w:cs="Arial"/>
                <w:sz w:val="22"/>
                <w:szCs w:val="22"/>
              </w:rPr>
              <w:t>Arday references ‘first level of reflective teaching’, Z-M refers to third level; Grimmett’s quote in Z-M is rendered in close paraphrase</w:t>
            </w:r>
          </w:p>
        </w:tc>
      </w:tr>
      <w:tr w:rsidR="001142E9" w14:paraId="52A5EACF" w14:textId="77777777">
        <w:tc>
          <w:tcPr>
            <w:tcW w:w="845" w:type="dxa"/>
            <w:tcBorders>
              <w:top w:val="single" w:sz="4" w:space="0" w:color="000000"/>
              <w:left w:val="single" w:sz="4" w:space="0" w:color="000000"/>
              <w:bottom w:val="single" w:sz="4" w:space="0" w:color="000000"/>
              <w:right w:val="single" w:sz="4" w:space="0" w:color="000000"/>
            </w:tcBorders>
          </w:tcPr>
          <w:p w14:paraId="52A5EAA2"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57</w:t>
            </w:r>
          </w:p>
        </w:tc>
        <w:tc>
          <w:tcPr>
            <w:tcW w:w="937" w:type="dxa"/>
            <w:tcBorders>
              <w:top w:val="single" w:sz="4" w:space="0" w:color="000000"/>
              <w:left w:val="single" w:sz="4" w:space="0" w:color="000000"/>
              <w:bottom w:val="single" w:sz="4" w:space="0" w:color="000000"/>
              <w:right w:val="single" w:sz="4" w:space="0" w:color="000000"/>
            </w:tcBorders>
          </w:tcPr>
          <w:p w14:paraId="52A5EAA3"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32</w:t>
            </w:r>
          </w:p>
        </w:tc>
        <w:tc>
          <w:tcPr>
            <w:tcW w:w="4309" w:type="dxa"/>
            <w:tcBorders>
              <w:top w:val="single" w:sz="4" w:space="0" w:color="000000"/>
              <w:left w:val="single" w:sz="4" w:space="0" w:color="000000"/>
              <w:bottom w:val="single" w:sz="4" w:space="0" w:color="000000"/>
              <w:right w:val="single" w:sz="4" w:space="0" w:color="000000"/>
            </w:tcBorders>
          </w:tcPr>
          <w:p w14:paraId="52A5EAA4" w14:textId="77777777" w:rsidR="001142E9" w:rsidRDefault="002B3BB7">
            <w:pPr>
              <w:widowControl w:val="0"/>
              <w:spacing w:after="0" w:line="240" w:lineRule="auto"/>
              <w:rPr>
                <w:rFonts w:ascii="Arial" w:hAnsi="Arial" w:cs="Arial"/>
                <w:b/>
                <w:bCs/>
                <w:color w:val="000000"/>
                <w:sz w:val="22"/>
                <w:szCs w:val="22"/>
              </w:rPr>
            </w:pPr>
            <w:r>
              <w:rPr>
                <w:rFonts w:ascii="Arial" w:hAnsi="Arial" w:cs="Arial"/>
                <w:b/>
                <w:bCs/>
                <w:color w:val="000000"/>
                <w:sz w:val="22"/>
                <w:szCs w:val="22"/>
              </w:rPr>
              <w:t>2.6 Reflective practice underpins the development of forms of knowledge that serve particular interests</w:t>
            </w:r>
          </w:p>
          <w:p w14:paraId="52A5EAA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br/>
            </w:r>
            <w:r>
              <w:rPr>
                <w:rFonts w:ascii="Arial" w:hAnsi="Arial" w:cs="Arial"/>
                <w:color w:val="000000"/>
                <w:sz w:val="22"/>
                <w:szCs w:val="22"/>
              </w:rPr>
              <w:t xml:space="preserve">Reflective practice through various perspectives is generally considered as a purposeful activity which advocates student teachers’ concerning themselves with formulating specific goals to improve pedagogical approaches (Pollard, 2011). </w:t>
            </w:r>
          </w:p>
          <w:p w14:paraId="52A5EAA6" w14:textId="77777777" w:rsidR="001142E9" w:rsidRDefault="001142E9">
            <w:pPr>
              <w:widowControl w:val="0"/>
              <w:spacing w:after="0" w:line="240" w:lineRule="auto"/>
              <w:rPr>
                <w:rFonts w:ascii="Arial" w:hAnsi="Arial" w:cs="Arial"/>
                <w:color w:val="000000"/>
                <w:sz w:val="22"/>
                <w:szCs w:val="22"/>
              </w:rPr>
            </w:pPr>
          </w:p>
          <w:p w14:paraId="52A5EAA7"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Such perspectives can be considered through: ethical, moral, personal and social constructs. Importantly, through such processes new knowledge is revealed; this is implemented to achieve a particular outcome. </w:t>
            </w:r>
          </w:p>
          <w:p w14:paraId="52A5EAA8" w14:textId="77777777" w:rsidR="001142E9" w:rsidRDefault="001142E9">
            <w:pPr>
              <w:widowControl w:val="0"/>
              <w:spacing w:after="0" w:line="240" w:lineRule="auto"/>
              <w:rPr>
                <w:rFonts w:ascii="Arial" w:hAnsi="Arial" w:cs="Arial"/>
                <w:color w:val="000000"/>
                <w:sz w:val="22"/>
                <w:szCs w:val="22"/>
              </w:rPr>
            </w:pPr>
          </w:p>
          <w:p w14:paraId="52A5EAA9" w14:textId="77777777" w:rsidR="001142E9" w:rsidRDefault="001142E9">
            <w:pPr>
              <w:widowControl w:val="0"/>
              <w:spacing w:after="0" w:line="240" w:lineRule="auto"/>
              <w:rPr>
                <w:rFonts w:ascii="Arial" w:hAnsi="Arial" w:cs="Arial"/>
                <w:color w:val="000000"/>
                <w:sz w:val="22"/>
                <w:szCs w:val="22"/>
              </w:rPr>
            </w:pPr>
          </w:p>
          <w:p w14:paraId="52A5EAAA"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AAB" w14:textId="77777777" w:rsidR="001142E9" w:rsidRDefault="002B3BB7">
            <w:pPr>
              <w:widowControl w:val="0"/>
              <w:spacing w:after="0" w:line="240" w:lineRule="auto"/>
              <w:rPr>
                <w:rFonts w:ascii="Arial" w:hAnsi="Arial" w:cs="Arial"/>
                <w:b/>
                <w:bCs/>
                <w:color w:val="000000"/>
                <w:sz w:val="22"/>
                <w:szCs w:val="22"/>
              </w:rPr>
            </w:pPr>
            <w:r>
              <w:rPr>
                <w:rFonts w:ascii="Arial" w:hAnsi="Arial" w:cs="Arial"/>
                <w:b/>
                <w:bCs/>
                <w:color w:val="000000"/>
                <w:sz w:val="22"/>
                <w:szCs w:val="22"/>
              </w:rPr>
              <w:lastRenderedPageBreak/>
              <w:t>2.5 Reflective practice underpins the development of forms of knowledge that serve particular interests</w:t>
            </w:r>
          </w:p>
          <w:p w14:paraId="52A5EAAC"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br/>
              <w:t xml:space="preserve">Reflective practice can be viewed as a purposeful activity in that questions student teachers‟ raise are formulated with specific goals and needs in mind. </w:t>
            </w:r>
          </w:p>
          <w:p w14:paraId="52A5EAAD" w14:textId="77777777" w:rsidR="001142E9" w:rsidRDefault="001142E9">
            <w:pPr>
              <w:widowControl w:val="0"/>
              <w:spacing w:after="0" w:line="240" w:lineRule="auto"/>
              <w:rPr>
                <w:rFonts w:ascii="Arial" w:hAnsi="Arial" w:cs="Arial"/>
                <w:color w:val="000000"/>
                <w:sz w:val="22"/>
                <w:szCs w:val="22"/>
              </w:rPr>
            </w:pPr>
          </w:p>
          <w:p w14:paraId="52A5EAAE" w14:textId="77777777" w:rsidR="001142E9" w:rsidRDefault="001142E9">
            <w:pPr>
              <w:widowControl w:val="0"/>
              <w:spacing w:after="0" w:line="240" w:lineRule="auto"/>
              <w:rPr>
                <w:rFonts w:ascii="Arial" w:hAnsi="Arial" w:cs="Arial"/>
                <w:color w:val="000000"/>
                <w:sz w:val="22"/>
                <w:szCs w:val="22"/>
              </w:rPr>
            </w:pPr>
          </w:p>
          <w:p w14:paraId="52A5EAAF" w14:textId="77777777" w:rsidR="001142E9" w:rsidRDefault="001142E9">
            <w:pPr>
              <w:widowControl w:val="0"/>
              <w:spacing w:after="0" w:line="240" w:lineRule="auto"/>
              <w:rPr>
                <w:rFonts w:ascii="Arial" w:hAnsi="Arial" w:cs="Arial"/>
                <w:color w:val="000000"/>
                <w:sz w:val="22"/>
                <w:szCs w:val="22"/>
              </w:rPr>
            </w:pPr>
          </w:p>
          <w:p w14:paraId="52A5EAB0"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Different kinds of interest can be served: ethical, moral, personal and social ones. The new knowledge created must be put to work and tried out to achieve a particular outcome. </w:t>
            </w:r>
          </w:p>
          <w:p w14:paraId="52A5EAB1" w14:textId="77777777" w:rsidR="001142E9" w:rsidRDefault="001142E9">
            <w:pPr>
              <w:widowControl w:val="0"/>
              <w:spacing w:after="0" w:line="240" w:lineRule="auto"/>
              <w:rPr>
                <w:rFonts w:ascii="Arial" w:hAnsi="Arial" w:cs="Arial"/>
                <w:color w:val="000000"/>
                <w:sz w:val="22"/>
                <w:szCs w:val="22"/>
              </w:rPr>
            </w:pPr>
          </w:p>
          <w:p w14:paraId="52A5EAB2" w14:textId="77777777" w:rsidR="001142E9" w:rsidRDefault="002B3BB7">
            <w:pPr>
              <w:widowControl w:val="0"/>
              <w:spacing w:after="0" w:line="240" w:lineRule="auto"/>
              <w:rPr>
                <w:rFonts w:ascii="Arial" w:eastAsia="Aptos" w:hAnsi="Arial" w:cs="Arial"/>
                <w:b/>
                <w:bCs/>
                <w:sz w:val="22"/>
                <w:szCs w:val="22"/>
              </w:rPr>
            </w:pPr>
            <w:r>
              <w:rPr>
                <w:rFonts w:ascii="Arial" w:eastAsia="Aptos" w:hAnsi="Arial" w:cs="Arial"/>
                <w:b/>
                <w:bCs/>
                <w:sz w:val="22"/>
                <w:szCs w:val="22"/>
              </w:rPr>
              <w:t>IMPORTANT NOTE:</w:t>
            </w:r>
          </w:p>
          <w:p w14:paraId="52A5EAB3" w14:textId="77777777" w:rsidR="001142E9" w:rsidRDefault="001142E9">
            <w:pPr>
              <w:widowControl w:val="0"/>
              <w:spacing w:after="0" w:line="240" w:lineRule="auto"/>
              <w:rPr>
                <w:rFonts w:ascii="Arial" w:eastAsia="Aptos" w:hAnsi="Arial" w:cs="Arial"/>
                <w:b/>
                <w:bCs/>
                <w:sz w:val="22"/>
                <w:szCs w:val="22"/>
              </w:rPr>
            </w:pPr>
          </w:p>
          <w:p w14:paraId="52A5EAB4" w14:textId="77777777" w:rsidR="001142E9" w:rsidRDefault="002B3BB7">
            <w:pPr>
              <w:widowControl w:val="0"/>
              <w:spacing w:after="0" w:line="240" w:lineRule="auto"/>
              <w:rPr>
                <w:rFonts w:ascii="Arial" w:eastAsia="Aptos" w:hAnsi="Arial" w:cs="Arial"/>
                <w:b/>
                <w:bCs/>
                <w:sz w:val="22"/>
                <w:szCs w:val="22"/>
              </w:rPr>
            </w:pPr>
            <w:r>
              <w:rPr>
                <w:rFonts w:ascii="Arial" w:eastAsia="Aptos" w:hAnsi="Arial" w:cs="Arial"/>
                <w:b/>
                <w:bCs/>
                <w:sz w:val="22"/>
                <w:szCs w:val="22"/>
              </w:rPr>
              <w:t>The following sections describing incidents from pages 57-69 cover nearly 11 pages of almost unbroken plagiarism – including verbatim, near-verbatim text and paraphrase</w:t>
            </w:r>
          </w:p>
          <w:p w14:paraId="52A5EAB5" w14:textId="77777777" w:rsidR="001142E9" w:rsidRDefault="001142E9">
            <w:pPr>
              <w:widowControl w:val="0"/>
              <w:spacing w:after="0" w:line="240" w:lineRule="auto"/>
              <w:rPr>
                <w:rFonts w:ascii="Arial" w:eastAsia="Aptos" w:hAnsi="Arial" w:cs="Arial"/>
                <w:b/>
                <w:bCs/>
                <w:sz w:val="22"/>
                <w:szCs w:val="22"/>
              </w:rPr>
            </w:pPr>
          </w:p>
          <w:p w14:paraId="52A5EAB6" w14:textId="77777777" w:rsidR="001142E9" w:rsidRDefault="002B3BB7">
            <w:pPr>
              <w:widowControl w:val="0"/>
              <w:spacing w:after="0" w:line="240" w:lineRule="auto"/>
              <w:rPr>
                <w:rFonts w:ascii="Arial" w:hAnsi="Arial" w:cs="Arial"/>
                <w:sz w:val="22"/>
                <w:szCs w:val="22"/>
              </w:rPr>
            </w:pPr>
            <w:r>
              <w:rPr>
                <w:rFonts w:ascii="Arial" w:eastAsia="Aptos" w:hAnsi="Arial" w:cs="Arial"/>
                <w:b/>
                <w:bCs/>
                <w:sz w:val="22"/>
                <w:szCs w:val="22"/>
              </w:rPr>
              <w:t>Sections have been divided up in this document to aid clarity. But extent of plagiarism can be seen highlighted on the marked thesis (attached)</w:t>
            </w:r>
          </w:p>
        </w:tc>
        <w:tc>
          <w:tcPr>
            <w:tcW w:w="1702" w:type="dxa"/>
            <w:tcBorders>
              <w:top w:val="single" w:sz="4" w:space="0" w:color="000000"/>
              <w:left w:val="single" w:sz="4" w:space="0" w:color="000000"/>
              <w:bottom w:val="single" w:sz="4" w:space="0" w:color="000000"/>
              <w:right w:val="single" w:sz="4" w:space="0" w:color="000000"/>
            </w:tcBorders>
          </w:tcPr>
          <w:p w14:paraId="52A5EAB7"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lastRenderedPageBreak/>
              <w:t>Key terms reproduced verbatim. Close paraphrase</w:t>
            </w:r>
          </w:p>
          <w:p w14:paraId="52A5EAB8" w14:textId="77777777" w:rsidR="001142E9" w:rsidRDefault="001142E9">
            <w:pPr>
              <w:widowControl w:val="0"/>
              <w:spacing w:after="0" w:line="240" w:lineRule="auto"/>
              <w:rPr>
                <w:rFonts w:ascii="Arial" w:hAnsi="Arial" w:cs="Arial"/>
                <w:color w:val="000000"/>
                <w:sz w:val="22"/>
                <w:szCs w:val="22"/>
              </w:rPr>
            </w:pPr>
          </w:p>
          <w:p w14:paraId="52A5EAB9" w14:textId="77777777" w:rsidR="001142E9" w:rsidRDefault="001142E9">
            <w:pPr>
              <w:widowControl w:val="0"/>
              <w:spacing w:after="0" w:line="240" w:lineRule="auto"/>
              <w:rPr>
                <w:rFonts w:ascii="Arial" w:hAnsi="Arial" w:cs="Arial"/>
                <w:color w:val="000000"/>
                <w:sz w:val="22"/>
                <w:szCs w:val="22"/>
              </w:rPr>
            </w:pPr>
          </w:p>
          <w:p w14:paraId="52A5EABA" w14:textId="77777777" w:rsidR="001142E9" w:rsidRDefault="001142E9">
            <w:pPr>
              <w:widowControl w:val="0"/>
              <w:spacing w:after="0" w:line="240" w:lineRule="auto"/>
              <w:rPr>
                <w:rFonts w:ascii="Arial" w:hAnsi="Arial" w:cs="Arial"/>
                <w:color w:val="000000"/>
                <w:sz w:val="22"/>
                <w:szCs w:val="22"/>
              </w:rPr>
            </w:pPr>
          </w:p>
          <w:p w14:paraId="52A5EABB" w14:textId="77777777" w:rsidR="001142E9" w:rsidRDefault="001142E9">
            <w:pPr>
              <w:widowControl w:val="0"/>
              <w:spacing w:after="0" w:line="240" w:lineRule="auto"/>
              <w:rPr>
                <w:rFonts w:ascii="Arial" w:hAnsi="Arial" w:cs="Arial"/>
                <w:color w:val="000000"/>
                <w:sz w:val="22"/>
                <w:szCs w:val="22"/>
              </w:rPr>
            </w:pPr>
          </w:p>
          <w:p w14:paraId="52A5EABC" w14:textId="77777777" w:rsidR="001142E9" w:rsidRDefault="001142E9">
            <w:pPr>
              <w:widowControl w:val="0"/>
              <w:spacing w:after="0" w:line="240" w:lineRule="auto"/>
              <w:rPr>
                <w:rFonts w:ascii="Arial" w:hAnsi="Arial" w:cs="Arial"/>
                <w:color w:val="000000"/>
                <w:sz w:val="22"/>
                <w:szCs w:val="22"/>
              </w:rPr>
            </w:pPr>
          </w:p>
          <w:p w14:paraId="52A5EABD" w14:textId="77777777" w:rsidR="001142E9" w:rsidRDefault="001142E9">
            <w:pPr>
              <w:widowControl w:val="0"/>
              <w:spacing w:after="0" w:line="240" w:lineRule="auto"/>
              <w:rPr>
                <w:rFonts w:ascii="Arial" w:hAnsi="Arial" w:cs="Arial"/>
                <w:color w:val="000000"/>
                <w:sz w:val="22"/>
                <w:szCs w:val="22"/>
              </w:rPr>
            </w:pPr>
          </w:p>
          <w:p w14:paraId="52A5EABE"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Close paraphrase, followed by</w:t>
            </w:r>
          </w:p>
          <w:p w14:paraId="52A5EABF"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 xml:space="preserve">verbatim text. </w:t>
            </w:r>
          </w:p>
        </w:tc>
        <w:tc>
          <w:tcPr>
            <w:tcW w:w="1913" w:type="dxa"/>
            <w:tcBorders>
              <w:top w:val="single" w:sz="4" w:space="0" w:color="000000"/>
              <w:left w:val="single" w:sz="4" w:space="0" w:color="000000"/>
              <w:bottom w:val="single" w:sz="4" w:space="0" w:color="000000"/>
              <w:right w:val="single" w:sz="4" w:space="0" w:color="000000"/>
            </w:tcBorders>
          </w:tcPr>
          <w:p w14:paraId="52A5EAC0"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lastRenderedPageBreak/>
              <w:t>Z-M’s subsection 2.5 becomes Arday’s 2.6 sub-section;</w:t>
            </w:r>
          </w:p>
          <w:p w14:paraId="52A5EAC1" w14:textId="77777777" w:rsidR="001142E9" w:rsidRDefault="001142E9">
            <w:pPr>
              <w:widowControl w:val="0"/>
              <w:spacing w:after="0" w:line="240" w:lineRule="auto"/>
              <w:rPr>
                <w:rFonts w:ascii="Arial" w:hAnsi="Arial" w:cs="Arial"/>
                <w:color w:val="000000"/>
                <w:sz w:val="22"/>
                <w:szCs w:val="22"/>
              </w:rPr>
            </w:pPr>
          </w:p>
          <w:p w14:paraId="52A5EAC2" w14:textId="77777777" w:rsidR="001142E9" w:rsidRDefault="001142E9">
            <w:pPr>
              <w:widowControl w:val="0"/>
              <w:spacing w:after="0" w:line="240" w:lineRule="auto"/>
              <w:rPr>
                <w:rFonts w:ascii="Arial" w:hAnsi="Arial" w:cs="Arial"/>
                <w:color w:val="000000"/>
                <w:sz w:val="22"/>
                <w:szCs w:val="22"/>
              </w:rPr>
            </w:pPr>
          </w:p>
          <w:p w14:paraId="52A5EAC3" w14:textId="77777777" w:rsidR="001142E9" w:rsidRDefault="001142E9">
            <w:pPr>
              <w:widowControl w:val="0"/>
              <w:spacing w:after="0" w:line="240" w:lineRule="auto"/>
              <w:rPr>
                <w:rFonts w:ascii="Arial" w:hAnsi="Arial" w:cs="Arial"/>
                <w:color w:val="000000"/>
                <w:sz w:val="22"/>
                <w:szCs w:val="22"/>
              </w:rPr>
            </w:pPr>
          </w:p>
          <w:p w14:paraId="52A5EAC4" w14:textId="77777777" w:rsidR="001142E9" w:rsidRDefault="001142E9">
            <w:pPr>
              <w:widowControl w:val="0"/>
              <w:spacing w:after="0" w:line="240" w:lineRule="auto"/>
              <w:rPr>
                <w:rFonts w:ascii="Arial" w:hAnsi="Arial" w:cs="Arial"/>
                <w:color w:val="000000"/>
                <w:sz w:val="22"/>
                <w:szCs w:val="22"/>
              </w:rPr>
            </w:pPr>
          </w:p>
          <w:p w14:paraId="52A5EAC5" w14:textId="77777777" w:rsidR="001142E9" w:rsidRDefault="001142E9">
            <w:pPr>
              <w:widowControl w:val="0"/>
              <w:spacing w:after="0" w:line="240" w:lineRule="auto"/>
              <w:rPr>
                <w:rFonts w:ascii="Arial" w:hAnsi="Arial" w:cs="Arial"/>
                <w:color w:val="000000"/>
                <w:sz w:val="22"/>
                <w:szCs w:val="22"/>
              </w:rPr>
            </w:pPr>
          </w:p>
          <w:p w14:paraId="52A5EAC6" w14:textId="77777777" w:rsidR="001142E9" w:rsidRDefault="001142E9">
            <w:pPr>
              <w:widowControl w:val="0"/>
              <w:spacing w:after="0" w:line="240" w:lineRule="auto"/>
              <w:rPr>
                <w:rFonts w:ascii="Arial" w:hAnsi="Arial" w:cs="Arial"/>
                <w:color w:val="000000"/>
                <w:sz w:val="22"/>
                <w:szCs w:val="22"/>
              </w:rPr>
            </w:pPr>
          </w:p>
          <w:p w14:paraId="52A5EAC7" w14:textId="77777777" w:rsidR="001142E9" w:rsidRDefault="001142E9">
            <w:pPr>
              <w:widowControl w:val="0"/>
              <w:spacing w:after="0" w:line="240" w:lineRule="auto"/>
              <w:rPr>
                <w:rFonts w:ascii="Arial" w:hAnsi="Arial" w:cs="Arial"/>
                <w:color w:val="000000"/>
                <w:sz w:val="22"/>
                <w:szCs w:val="22"/>
              </w:rPr>
            </w:pPr>
          </w:p>
          <w:p w14:paraId="52A5EAC8"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 xml:space="preserve">Different kinds of interest’ becomes ‘Such perspectives’; </w:t>
            </w:r>
          </w:p>
          <w:p w14:paraId="52A5EAC9" w14:textId="77777777" w:rsidR="001142E9" w:rsidRDefault="001142E9">
            <w:pPr>
              <w:widowControl w:val="0"/>
              <w:spacing w:after="0" w:line="240" w:lineRule="auto"/>
              <w:rPr>
                <w:rFonts w:ascii="Arial" w:hAnsi="Arial" w:cs="Arial"/>
                <w:color w:val="000000"/>
                <w:sz w:val="22"/>
                <w:szCs w:val="22"/>
              </w:rPr>
            </w:pPr>
          </w:p>
          <w:p w14:paraId="52A5EACA"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‘can be served’ becomes ‘considered’</w:t>
            </w:r>
          </w:p>
          <w:p w14:paraId="52A5EACB"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Use of Habermas starts here</w:t>
            </w:r>
          </w:p>
          <w:p w14:paraId="52A5EACC" w14:textId="77777777" w:rsidR="001142E9" w:rsidRDefault="001142E9">
            <w:pPr>
              <w:widowControl w:val="0"/>
              <w:spacing w:after="0" w:line="240" w:lineRule="auto"/>
              <w:rPr>
                <w:rFonts w:ascii="Arial" w:hAnsi="Arial" w:cs="Arial"/>
                <w:color w:val="000000"/>
                <w:sz w:val="22"/>
                <w:szCs w:val="22"/>
              </w:rPr>
            </w:pPr>
          </w:p>
          <w:p w14:paraId="52A5EACD" w14:textId="77777777" w:rsidR="001142E9" w:rsidRDefault="001142E9">
            <w:pPr>
              <w:widowControl w:val="0"/>
              <w:spacing w:after="0" w:line="240" w:lineRule="auto"/>
              <w:rPr>
                <w:rFonts w:ascii="Arial" w:hAnsi="Arial" w:cs="Arial"/>
                <w:color w:val="000000"/>
                <w:sz w:val="22"/>
                <w:szCs w:val="22"/>
              </w:rPr>
            </w:pPr>
          </w:p>
          <w:p w14:paraId="52A5EACE" w14:textId="77777777" w:rsidR="001142E9" w:rsidRDefault="001142E9">
            <w:pPr>
              <w:widowControl w:val="0"/>
              <w:spacing w:after="0" w:line="240" w:lineRule="auto"/>
              <w:rPr>
                <w:rFonts w:ascii="Arial" w:hAnsi="Arial" w:cs="Arial"/>
                <w:sz w:val="22"/>
                <w:szCs w:val="22"/>
              </w:rPr>
            </w:pPr>
          </w:p>
        </w:tc>
      </w:tr>
      <w:tr w:rsidR="001142E9" w14:paraId="52A5EAD7" w14:textId="77777777">
        <w:tc>
          <w:tcPr>
            <w:tcW w:w="845" w:type="dxa"/>
            <w:tcBorders>
              <w:top w:val="single" w:sz="4" w:space="0" w:color="000000"/>
              <w:left w:val="single" w:sz="4" w:space="0" w:color="000000"/>
              <w:bottom w:val="single" w:sz="4" w:space="0" w:color="000000"/>
              <w:right w:val="single" w:sz="4" w:space="0" w:color="000000"/>
            </w:tcBorders>
          </w:tcPr>
          <w:p w14:paraId="52A5EAD0"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lastRenderedPageBreak/>
              <w:t>57</w:t>
            </w:r>
          </w:p>
        </w:tc>
        <w:tc>
          <w:tcPr>
            <w:tcW w:w="937" w:type="dxa"/>
            <w:tcBorders>
              <w:top w:val="single" w:sz="4" w:space="0" w:color="000000"/>
              <w:left w:val="single" w:sz="4" w:space="0" w:color="000000"/>
              <w:bottom w:val="single" w:sz="4" w:space="0" w:color="000000"/>
              <w:right w:val="single" w:sz="4" w:space="0" w:color="000000"/>
            </w:tcBorders>
          </w:tcPr>
          <w:p w14:paraId="52A5EAD1"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32</w:t>
            </w:r>
          </w:p>
        </w:tc>
        <w:tc>
          <w:tcPr>
            <w:tcW w:w="4309" w:type="dxa"/>
            <w:tcBorders>
              <w:top w:val="single" w:sz="4" w:space="0" w:color="000000"/>
              <w:left w:val="single" w:sz="4" w:space="0" w:color="000000"/>
              <w:bottom w:val="single" w:sz="4" w:space="0" w:color="000000"/>
              <w:right w:val="single" w:sz="4" w:space="0" w:color="000000"/>
            </w:tcBorders>
          </w:tcPr>
          <w:p w14:paraId="52A5EAD2"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Student teachers, for example, who concern themselves with diagnosing ways to challenge all pupils within a mixed ability setting, might experiment with a range of approaches, facilitated by the utilisation of new insights and understanding gained from reflection to inform teaching practices (Hickson, 2012). (p. 58)2.6</w:t>
            </w:r>
          </w:p>
          <w:p w14:paraId="52A5EAD3" w14:textId="77777777" w:rsidR="001142E9" w:rsidRDefault="001142E9">
            <w:pPr>
              <w:widowControl w:val="0"/>
              <w:spacing w:after="0" w:line="240" w:lineRule="auto"/>
              <w:rPr>
                <w:rFonts w:ascii="Arial" w:hAnsi="Arial" w:cs="Arial"/>
                <w:b/>
                <w:bCs/>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AD4" w14:textId="77777777" w:rsidR="001142E9" w:rsidRDefault="002B3BB7">
            <w:pPr>
              <w:widowControl w:val="0"/>
              <w:spacing w:after="0" w:line="240" w:lineRule="auto"/>
              <w:rPr>
                <w:rFonts w:ascii="Arial" w:hAnsi="Arial" w:cs="Arial"/>
                <w:b/>
                <w:bCs/>
                <w:color w:val="000000"/>
                <w:sz w:val="22"/>
                <w:szCs w:val="22"/>
              </w:rPr>
            </w:pPr>
            <w:r>
              <w:rPr>
                <w:rFonts w:ascii="Arial" w:hAnsi="Arial" w:cs="Arial"/>
                <w:color w:val="000000"/>
                <w:sz w:val="22"/>
                <w:szCs w:val="22"/>
              </w:rPr>
              <w:t>Student teachers, for example, concerned to find ways to challenge all pupils within a mixed ability setting might experiment with a range of approaches and use new insights and understanding to inform future planning</w:t>
            </w:r>
          </w:p>
        </w:tc>
        <w:tc>
          <w:tcPr>
            <w:tcW w:w="1702" w:type="dxa"/>
            <w:tcBorders>
              <w:top w:val="single" w:sz="4" w:space="0" w:color="000000"/>
              <w:left w:val="single" w:sz="4" w:space="0" w:color="000000"/>
              <w:bottom w:val="single" w:sz="4" w:space="0" w:color="000000"/>
              <w:right w:val="single" w:sz="4" w:space="0" w:color="000000"/>
            </w:tcBorders>
          </w:tcPr>
          <w:p w14:paraId="52A5EAD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Verbatim, with substituted term</w:t>
            </w:r>
          </w:p>
        </w:tc>
        <w:tc>
          <w:tcPr>
            <w:tcW w:w="1913" w:type="dxa"/>
            <w:tcBorders>
              <w:top w:val="single" w:sz="4" w:space="0" w:color="000000"/>
              <w:left w:val="single" w:sz="4" w:space="0" w:color="000000"/>
              <w:bottom w:val="single" w:sz="4" w:space="0" w:color="000000"/>
              <w:right w:val="single" w:sz="4" w:space="0" w:color="000000"/>
            </w:tcBorders>
          </w:tcPr>
          <w:p w14:paraId="52A5EAD6"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Apart from the substitution of Z-M’s ‘use’ with Arday’s ‘facilitated by the utilisation of’, plus Hickson reference, text is verbatim</w:t>
            </w:r>
          </w:p>
        </w:tc>
      </w:tr>
      <w:tr w:rsidR="001142E9" w14:paraId="52A5EAE0" w14:textId="77777777">
        <w:tc>
          <w:tcPr>
            <w:tcW w:w="845" w:type="dxa"/>
            <w:tcBorders>
              <w:top w:val="single" w:sz="4" w:space="0" w:color="000000"/>
              <w:left w:val="single" w:sz="4" w:space="0" w:color="000000"/>
              <w:bottom w:val="single" w:sz="4" w:space="0" w:color="000000"/>
              <w:right w:val="single" w:sz="4" w:space="0" w:color="000000"/>
            </w:tcBorders>
          </w:tcPr>
          <w:p w14:paraId="52A5EAD8"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58</w:t>
            </w:r>
          </w:p>
        </w:tc>
        <w:tc>
          <w:tcPr>
            <w:tcW w:w="937" w:type="dxa"/>
            <w:tcBorders>
              <w:top w:val="single" w:sz="4" w:space="0" w:color="000000"/>
              <w:left w:val="single" w:sz="4" w:space="0" w:color="000000"/>
              <w:bottom w:val="single" w:sz="4" w:space="0" w:color="000000"/>
              <w:right w:val="single" w:sz="4" w:space="0" w:color="000000"/>
            </w:tcBorders>
          </w:tcPr>
          <w:p w14:paraId="52A5EAD9"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32-33</w:t>
            </w:r>
          </w:p>
        </w:tc>
        <w:tc>
          <w:tcPr>
            <w:tcW w:w="4309" w:type="dxa"/>
            <w:tcBorders>
              <w:top w:val="single" w:sz="4" w:space="0" w:color="000000"/>
              <w:left w:val="single" w:sz="4" w:space="0" w:color="000000"/>
              <w:bottom w:val="single" w:sz="4" w:space="0" w:color="000000"/>
              <w:right w:val="single" w:sz="4" w:space="0" w:color="000000"/>
            </w:tcBorders>
          </w:tcPr>
          <w:p w14:paraId="52A5EADA"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To support such contexts, Habermas </w:t>
            </w:r>
            <w:r>
              <w:rPr>
                <w:rFonts w:ascii="Arial" w:hAnsi="Arial" w:cs="Arial"/>
                <w:color w:val="000000"/>
                <w:sz w:val="22"/>
                <w:szCs w:val="22"/>
              </w:rPr>
              <w:lastRenderedPageBreak/>
              <w:t xml:space="preserve">(1971) devised a model of knowledge, which entails the understanding of constitutive interests to distinguish between technical, social science and the emancipatory interests of people, which frame human knowledge, through the implementation of processes of inquiry. </w:t>
            </w:r>
          </w:p>
        </w:tc>
        <w:tc>
          <w:tcPr>
            <w:tcW w:w="4251" w:type="dxa"/>
            <w:tcBorders>
              <w:top w:val="single" w:sz="4" w:space="0" w:color="000000"/>
              <w:left w:val="single" w:sz="4" w:space="0" w:color="000000"/>
              <w:bottom w:val="single" w:sz="4" w:space="0" w:color="000000"/>
              <w:right w:val="single" w:sz="4" w:space="0" w:color="000000"/>
            </w:tcBorders>
          </w:tcPr>
          <w:p w14:paraId="52A5EADB"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lastRenderedPageBreak/>
              <w:t xml:space="preserve">The critical theorist Jurgen Habermas </w:t>
            </w:r>
            <w:r>
              <w:rPr>
                <w:rFonts w:ascii="Arial" w:hAnsi="Arial" w:cs="Arial"/>
                <w:color w:val="000000"/>
                <w:sz w:val="22"/>
                <w:szCs w:val="22"/>
              </w:rPr>
              <w:lastRenderedPageBreak/>
              <w:t xml:space="preserve">(1971) devised a model of knowledge constitutive interests to distinguish between technical, social science and emancipatory interests of people, which guide and shape human knowledge with their characteristic processes of inquiry. </w:t>
            </w:r>
          </w:p>
          <w:p w14:paraId="52A5EADC"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ADD"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lastRenderedPageBreak/>
              <w:t xml:space="preserve">Verbatim text, </w:t>
            </w:r>
            <w:r>
              <w:rPr>
                <w:rFonts w:ascii="Arial" w:hAnsi="Arial" w:cs="Arial"/>
                <w:color w:val="000000"/>
                <w:sz w:val="22"/>
                <w:szCs w:val="22"/>
              </w:rPr>
              <w:lastRenderedPageBreak/>
              <w:t>with minor changes (substitution of terms, additional sub-phrase)</w:t>
            </w:r>
          </w:p>
        </w:tc>
        <w:tc>
          <w:tcPr>
            <w:tcW w:w="1913" w:type="dxa"/>
            <w:tcBorders>
              <w:top w:val="single" w:sz="4" w:space="0" w:color="000000"/>
              <w:left w:val="single" w:sz="4" w:space="0" w:color="000000"/>
              <w:bottom w:val="single" w:sz="4" w:space="0" w:color="000000"/>
              <w:right w:val="single" w:sz="4" w:space="0" w:color="000000"/>
            </w:tcBorders>
          </w:tcPr>
          <w:p w14:paraId="52A5EADE"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lastRenderedPageBreak/>
              <w:t xml:space="preserve">Paraphrase </w:t>
            </w:r>
            <w:r>
              <w:rPr>
                <w:rFonts w:ascii="Arial" w:hAnsi="Arial" w:cs="Arial"/>
                <w:color w:val="000000"/>
                <w:sz w:val="22"/>
                <w:szCs w:val="22"/>
              </w:rPr>
              <w:lastRenderedPageBreak/>
              <w:t>include: ‘guide and shape’ in Z-M becomes ‘frame’ in Arday; ‘characteristic’ becomes ‘implementation of’</w:t>
            </w:r>
          </w:p>
          <w:p w14:paraId="52A5EADF" w14:textId="77777777" w:rsidR="001142E9" w:rsidRDefault="001142E9">
            <w:pPr>
              <w:widowControl w:val="0"/>
              <w:spacing w:after="0" w:line="240" w:lineRule="auto"/>
              <w:rPr>
                <w:rFonts w:ascii="Arial" w:hAnsi="Arial" w:cs="Arial"/>
                <w:color w:val="000000"/>
                <w:sz w:val="22"/>
                <w:szCs w:val="22"/>
              </w:rPr>
            </w:pPr>
          </w:p>
        </w:tc>
      </w:tr>
      <w:tr w:rsidR="001142E9" w14:paraId="52A5EAEA" w14:textId="77777777">
        <w:tc>
          <w:tcPr>
            <w:tcW w:w="845" w:type="dxa"/>
            <w:tcBorders>
              <w:top w:val="single" w:sz="4" w:space="0" w:color="000000"/>
              <w:left w:val="single" w:sz="4" w:space="0" w:color="000000"/>
              <w:bottom w:val="single" w:sz="4" w:space="0" w:color="000000"/>
              <w:right w:val="single" w:sz="4" w:space="0" w:color="000000"/>
            </w:tcBorders>
          </w:tcPr>
          <w:p w14:paraId="52A5EAE1"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lastRenderedPageBreak/>
              <w:t>58</w:t>
            </w:r>
          </w:p>
        </w:tc>
        <w:tc>
          <w:tcPr>
            <w:tcW w:w="937" w:type="dxa"/>
            <w:tcBorders>
              <w:top w:val="single" w:sz="4" w:space="0" w:color="000000"/>
              <w:left w:val="single" w:sz="4" w:space="0" w:color="000000"/>
              <w:bottom w:val="single" w:sz="4" w:space="0" w:color="000000"/>
              <w:right w:val="single" w:sz="4" w:space="0" w:color="000000"/>
            </w:tcBorders>
          </w:tcPr>
          <w:p w14:paraId="52A5EAE2"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32-33</w:t>
            </w:r>
          </w:p>
        </w:tc>
        <w:tc>
          <w:tcPr>
            <w:tcW w:w="4309" w:type="dxa"/>
            <w:tcBorders>
              <w:top w:val="single" w:sz="4" w:space="0" w:color="000000"/>
              <w:left w:val="single" w:sz="4" w:space="0" w:color="000000"/>
              <w:bottom w:val="single" w:sz="4" w:space="0" w:color="000000"/>
              <w:right w:val="single" w:sz="4" w:space="0" w:color="000000"/>
            </w:tcBorders>
          </w:tcPr>
          <w:p w14:paraId="52A5EAE3"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Habermas’ technical or instrumental interests, compelled by an individual’s concern to understand the environment in which they exist, are realised through empirical and analytical scientific explanations. Interests within the social sciences and humanities, the historic hermeneutic disciplines, which have been driven by a concern to comprehend human interaction, behaviours and variances of communications, are acknowledged through the interpretation and integration of ideas in order to unpick meanings assoc</w:t>
            </w:r>
            <w:r>
              <w:rPr>
                <w:rFonts w:ascii="Arial" w:hAnsi="Arial" w:cs="Arial"/>
                <w:color w:val="000000"/>
                <w:sz w:val="22"/>
                <w:szCs w:val="22"/>
              </w:rPr>
              <w:t xml:space="preserve">iated with human interaction and behaviours (Habermas, 1971). </w:t>
            </w:r>
          </w:p>
          <w:p w14:paraId="52A5EAE4"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AE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Habermas’ technical or instrumental interests, driven by a person’s concern to understand the environment in which he lives, are realised through empirical and analytical scientific explanation. Interests within the social sciences and humanities – the historic hermeneutic disciplines – driven by a person’s concern to understand human behaviour and forms of communication are realised through the interpretation and integration of ideas in order to understand meanings associated with human behaviour and forms</w:t>
            </w:r>
            <w:r>
              <w:rPr>
                <w:rFonts w:ascii="Arial" w:hAnsi="Arial" w:cs="Arial"/>
                <w:color w:val="000000"/>
                <w:sz w:val="22"/>
                <w:szCs w:val="22"/>
              </w:rPr>
              <w:t xml:space="preserve"> of communication. </w:t>
            </w:r>
          </w:p>
          <w:p w14:paraId="52A5EAE6" w14:textId="77777777" w:rsidR="001142E9" w:rsidRDefault="001142E9">
            <w:pPr>
              <w:widowControl w:val="0"/>
              <w:spacing w:after="0" w:line="240" w:lineRule="auto"/>
              <w:rPr>
                <w:rFonts w:ascii="Arial" w:hAnsi="Arial" w:cs="Arial"/>
                <w:color w:val="000000"/>
                <w:sz w:val="22"/>
                <w:szCs w:val="22"/>
              </w:rPr>
            </w:pPr>
          </w:p>
          <w:p w14:paraId="52A5EAE7"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AE8"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Verbatim text with close paraphrase</w:t>
            </w:r>
          </w:p>
        </w:tc>
        <w:tc>
          <w:tcPr>
            <w:tcW w:w="1913" w:type="dxa"/>
            <w:tcBorders>
              <w:top w:val="single" w:sz="4" w:space="0" w:color="000000"/>
              <w:left w:val="single" w:sz="4" w:space="0" w:color="000000"/>
              <w:bottom w:val="single" w:sz="4" w:space="0" w:color="000000"/>
              <w:right w:val="single" w:sz="4" w:space="0" w:color="000000"/>
            </w:tcBorders>
          </w:tcPr>
          <w:p w14:paraId="52A5EAE9"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Paraphrase at end of sentence is: ‘in order to understand meanings’ becomes ‘in order to unpick meanings’</w:t>
            </w:r>
          </w:p>
        </w:tc>
      </w:tr>
      <w:tr w:rsidR="001142E9" w14:paraId="52A5EAF5" w14:textId="77777777">
        <w:tc>
          <w:tcPr>
            <w:tcW w:w="845" w:type="dxa"/>
            <w:tcBorders>
              <w:top w:val="single" w:sz="4" w:space="0" w:color="000000"/>
              <w:left w:val="single" w:sz="4" w:space="0" w:color="000000"/>
              <w:bottom w:val="single" w:sz="4" w:space="0" w:color="000000"/>
              <w:right w:val="single" w:sz="4" w:space="0" w:color="000000"/>
            </w:tcBorders>
          </w:tcPr>
          <w:p w14:paraId="52A5EAEB"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58</w:t>
            </w:r>
          </w:p>
        </w:tc>
        <w:tc>
          <w:tcPr>
            <w:tcW w:w="937" w:type="dxa"/>
            <w:tcBorders>
              <w:top w:val="single" w:sz="4" w:space="0" w:color="000000"/>
              <w:left w:val="single" w:sz="4" w:space="0" w:color="000000"/>
              <w:bottom w:val="single" w:sz="4" w:space="0" w:color="000000"/>
              <w:right w:val="single" w:sz="4" w:space="0" w:color="000000"/>
            </w:tcBorders>
          </w:tcPr>
          <w:p w14:paraId="52A5EAEC"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32</w:t>
            </w:r>
          </w:p>
        </w:tc>
        <w:tc>
          <w:tcPr>
            <w:tcW w:w="4309" w:type="dxa"/>
            <w:tcBorders>
              <w:top w:val="single" w:sz="4" w:space="0" w:color="000000"/>
              <w:left w:val="single" w:sz="4" w:space="0" w:color="000000"/>
              <w:bottom w:val="single" w:sz="4" w:space="0" w:color="000000"/>
              <w:right w:val="single" w:sz="4" w:space="0" w:color="000000"/>
            </w:tcBorders>
          </w:tcPr>
          <w:p w14:paraId="52A5EAED"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Emancipatory interests, driven by an individual’s concern to understand the self within the human context are negotiated through critical and evaluative modes of thought and inquiry (Bradbury, 2010). Moon (1999: 14) argues that the acquisition of knowledge which accommodates emancipatory interests aim to produce transformations in individual behaviour, through personal, social or world constructions of reality. </w:t>
            </w:r>
          </w:p>
          <w:p w14:paraId="52A5EAEE" w14:textId="77777777" w:rsidR="001142E9" w:rsidRDefault="001142E9">
            <w:pPr>
              <w:widowControl w:val="0"/>
              <w:spacing w:after="0" w:line="240" w:lineRule="auto"/>
              <w:rPr>
                <w:rFonts w:ascii="Arial" w:hAnsi="Arial" w:cs="Arial"/>
                <w:color w:val="000000"/>
                <w:sz w:val="22"/>
                <w:szCs w:val="22"/>
              </w:rPr>
            </w:pPr>
          </w:p>
          <w:p w14:paraId="52A5EAEF"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Habermas’ model suggests reflective practice is hierarchical, that knowledge must initially be developed by instrumental or interpretive means before a critical overview of that knowledge or processes that have led to its configuration are possible. </w:t>
            </w:r>
          </w:p>
          <w:p w14:paraId="52A5EAF0"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AF1"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Emancipatory interests, driven by a person’s concern to understand self .. within the human context‟ are realised through critical and evaluative modes of thought and inquiry. Moon (1999: 14) argues that the acquisition of knowledge which accommodates emancipatory interests aim to bring about a “transformation in the self, or in the personal, social or world situation or any combination of these‟.</w:t>
            </w:r>
          </w:p>
          <w:p w14:paraId="52A5EAF2"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br/>
            </w:r>
            <w:r>
              <w:rPr>
                <w:rFonts w:ascii="Arial" w:hAnsi="Arial" w:cs="Arial"/>
                <w:color w:val="000000"/>
                <w:sz w:val="22"/>
                <w:szCs w:val="22"/>
              </w:rPr>
              <w:t>Habermas‟ model suggests reflective practice is hierarchical, that knowledge must initially be developed by instrumental or interpretive means before a critical overview of that knowledge or processes that have led to its generation are possible.</w:t>
            </w:r>
          </w:p>
        </w:tc>
        <w:tc>
          <w:tcPr>
            <w:tcW w:w="1702" w:type="dxa"/>
            <w:tcBorders>
              <w:top w:val="single" w:sz="4" w:space="0" w:color="000000"/>
              <w:left w:val="single" w:sz="4" w:space="0" w:color="000000"/>
              <w:bottom w:val="single" w:sz="4" w:space="0" w:color="000000"/>
              <w:right w:val="single" w:sz="4" w:space="0" w:color="000000"/>
            </w:tcBorders>
          </w:tcPr>
          <w:p w14:paraId="52A5EAF3"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Verbatim/near-verbatim, verbatim scaffold</w:t>
            </w:r>
          </w:p>
        </w:tc>
        <w:tc>
          <w:tcPr>
            <w:tcW w:w="1913" w:type="dxa"/>
            <w:tcBorders>
              <w:top w:val="single" w:sz="4" w:space="0" w:color="000000"/>
              <w:left w:val="single" w:sz="4" w:space="0" w:color="000000"/>
              <w:bottom w:val="single" w:sz="4" w:space="0" w:color="000000"/>
              <w:right w:val="single" w:sz="4" w:space="0" w:color="000000"/>
            </w:tcBorders>
          </w:tcPr>
          <w:p w14:paraId="52A5EAF4"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Sentence for sentence reproduced word for word.</w:t>
            </w:r>
          </w:p>
        </w:tc>
      </w:tr>
      <w:tr w:rsidR="001142E9" w14:paraId="52A5EAFD" w14:textId="77777777">
        <w:tc>
          <w:tcPr>
            <w:tcW w:w="845" w:type="dxa"/>
            <w:tcBorders>
              <w:top w:val="single" w:sz="4" w:space="0" w:color="000000"/>
              <w:left w:val="single" w:sz="4" w:space="0" w:color="000000"/>
              <w:bottom w:val="single" w:sz="4" w:space="0" w:color="000000"/>
              <w:right w:val="single" w:sz="4" w:space="0" w:color="000000"/>
            </w:tcBorders>
          </w:tcPr>
          <w:p w14:paraId="52A5EAF6"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58</w:t>
            </w:r>
          </w:p>
        </w:tc>
        <w:tc>
          <w:tcPr>
            <w:tcW w:w="937" w:type="dxa"/>
            <w:tcBorders>
              <w:top w:val="single" w:sz="4" w:space="0" w:color="000000"/>
              <w:left w:val="single" w:sz="4" w:space="0" w:color="000000"/>
              <w:bottom w:val="single" w:sz="4" w:space="0" w:color="000000"/>
              <w:right w:val="single" w:sz="4" w:space="0" w:color="000000"/>
            </w:tcBorders>
          </w:tcPr>
          <w:p w14:paraId="52A5EAF7"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33</w:t>
            </w:r>
          </w:p>
        </w:tc>
        <w:tc>
          <w:tcPr>
            <w:tcW w:w="4309" w:type="dxa"/>
            <w:tcBorders>
              <w:top w:val="single" w:sz="4" w:space="0" w:color="000000"/>
              <w:left w:val="single" w:sz="4" w:space="0" w:color="000000"/>
              <w:bottom w:val="single" w:sz="4" w:space="0" w:color="000000"/>
              <w:right w:val="single" w:sz="4" w:space="0" w:color="000000"/>
            </w:tcBorders>
          </w:tcPr>
          <w:p w14:paraId="52A5EAF8"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Pertinently, he considers methods of empirical and analytical enquiry associated with scientific explanation to provide an inadequate base for the social sciences. Specifically, since generated interpretations, which underpin and construct the social sciences, are derived from subjective dialogue and experiences that require continuous evaluation over specific periods (Zwozdiak-Myers, 2009)</w:t>
            </w:r>
          </w:p>
        </w:tc>
        <w:tc>
          <w:tcPr>
            <w:tcW w:w="4251" w:type="dxa"/>
            <w:tcBorders>
              <w:top w:val="single" w:sz="4" w:space="0" w:color="000000"/>
              <w:left w:val="single" w:sz="4" w:space="0" w:color="000000"/>
              <w:bottom w:val="single" w:sz="4" w:space="0" w:color="000000"/>
              <w:right w:val="single" w:sz="4" w:space="0" w:color="000000"/>
            </w:tcBorders>
          </w:tcPr>
          <w:p w14:paraId="52A5EAF9"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He considers methods of empirical and analytical enquiry associated with scientific explanation to provide an inadequate base for the social sciences since interpretations, which are essential to the social sciences, are derived from subjective experiences that require continuous evaluation. </w:t>
            </w:r>
          </w:p>
          <w:p w14:paraId="52A5EAFA"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AFB"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After ‘pertinently’, verbatim text, followed by insufficient reference to Z-M’s thesis</w:t>
            </w:r>
          </w:p>
        </w:tc>
        <w:tc>
          <w:tcPr>
            <w:tcW w:w="1913" w:type="dxa"/>
            <w:tcBorders>
              <w:top w:val="single" w:sz="4" w:space="0" w:color="000000"/>
              <w:left w:val="single" w:sz="4" w:space="0" w:color="000000"/>
              <w:bottom w:val="single" w:sz="4" w:space="0" w:color="000000"/>
              <w:right w:val="single" w:sz="4" w:space="0" w:color="000000"/>
            </w:tcBorders>
          </w:tcPr>
          <w:p w14:paraId="52A5EAFC"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Mentions Z-M’s 2009 thesis but not quoted or referenced properly</w:t>
            </w:r>
          </w:p>
        </w:tc>
      </w:tr>
      <w:tr w:rsidR="001142E9" w14:paraId="52A5EB04" w14:textId="77777777">
        <w:tc>
          <w:tcPr>
            <w:tcW w:w="845" w:type="dxa"/>
            <w:tcBorders>
              <w:top w:val="single" w:sz="4" w:space="0" w:color="000000"/>
              <w:left w:val="single" w:sz="4" w:space="0" w:color="000000"/>
              <w:bottom w:val="single" w:sz="4" w:space="0" w:color="000000"/>
              <w:right w:val="single" w:sz="4" w:space="0" w:color="000000"/>
            </w:tcBorders>
          </w:tcPr>
          <w:p w14:paraId="52A5EAFE"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58</w:t>
            </w:r>
          </w:p>
        </w:tc>
        <w:tc>
          <w:tcPr>
            <w:tcW w:w="937" w:type="dxa"/>
            <w:tcBorders>
              <w:top w:val="single" w:sz="4" w:space="0" w:color="000000"/>
              <w:left w:val="single" w:sz="4" w:space="0" w:color="000000"/>
              <w:bottom w:val="single" w:sz="4" w:space="0" w:color="000000"/>
              <w:right w:val="single" w:sz="4" w:space="0" w:color="000000"/>
            </w:tcBorders>
          </w:tcPr>
          <w:p w14:paraId="52A5EAFF"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33</w:t>
            </w:r>
          </w:p>
        </w:tc>
        <w:tc>
          <w:tcPr>
            <w:tcW w:w="4309" w:type="dxa"/>
            <w:tcBorders>
              <w:top w:val="single" w:sz="4" w:space="0" w:color="000000"/>
              <w:left w:val="single" w:sz="4" w:space="0" w:color="000000"/>
              <w:bottom w:val="single" w:sz="4" w:space="0" w:color="000000"/>
              <w:right w:val="single" w:sz="4" w:space="0" w:color="000000"/>
            </w:tcBorders>
          </w:tcPr>
          <w:p w14:paraId="52A5EB00"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Although the fundamental mode of enquiry for the social sciences is interpretation, Habermas suggests this process, requires a critical form of evaluation and enquiry. Primarily, such interpretations acknowledge scrutiny from how viewpoints and interpretations have arisen. This reflexive disposition resonates with critical theory that has emerged from the process of critique and evaluation: specifically, the generation of questioning and understanding to facilitate and challenge pedagogical interests (Polla</w:t>
            </w:r>
            <w:r>
              <w:rPr>
                <w:rFonts w:ascii="Arial" w:hAnsi="Arial" w:cs="Arial"/>
                <w:color w:val="000000"/>
                <w:sz w:val="22"/>
                <w:szCs w:val="22"/>
              </w:rPr>
              <w:t>rd, 2011).</w:t>
            </w:r>
          </w:p>
        </w:tc>
        <w:tc>
          <w:tcPr>
            <w:tcW w:w="4251" w:type="dxa"/>
            <w:tcBorders>
              <w:top w:val="single" w:sz="4" w:space="0" w:color="000000"/>
              <w:left w:val="single" w:sz="4" w:space="0" w:color="000000"/>
              <w:bottom w:val="single" w:sz="4" w:space="0" w:color="000000"/>
              <w:right w:val="single" w:sz="4" w:space="0" w:color="000000"/>
            </w:tcBorders>
          </w:tcPr>
          <w:p w14:paraId="52A5EB01"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Although the fundamental mode of enquiry for the social sciences is interpretation, Habermas suggests this process, in and of itself, requires a critical form of evaluation and enquiry so as to scrutinize how and from which viewpoints interpretations have arisen. This reflexive form of reasoning has resonance with critical theory that emerges from the process of critique and evaluation: specifically, the generation of questioning and understanding to serve emancipatory interests.</w:t>
            </w:r>
          </w:p>
        </w:tc>
        <w:tc>
          <w:tcPr>
            <w:tcW w:w="1702" w:type="dxa"/>
            <w:tcBorders>
              <w:top w:val="single" w:sz="4" w:space="0" w:color="000000"/>
              <w:left w:val="single" w:sz="4" w:space="0" w:color="000000"/>
              <w:bottom w:val="single" w:sz="4" w:space="0" w:color="000000"/>
              <w:right w:val="single" w:sz="4" w:space="0" w:color="000000"/>
            </w:tcBorders>
          </w:tcPr>
          <w:p w14:paraId="52A5EB02"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 xml:space="preserve">Essentials are copied verbatim, with paraphrasing </w:t>
            </w:r>
          </w:p>
        </w:tc>
        <w:tc>
          <w:tcPr>
            <w:tcW w:w="1913" w:type="dxa"/>
            <w:tcBorders>
              <w:top w:val="single" w:sz="4" w:space="0" w:color="000000"/>
              <w:left w:val="single" w:sz="4" w:space="0" w:color="000000"/>
              <w:bottom w:val="single" w:sz="4" w:space="0" w:color="000000"/>
              <w:right w:val="single" w:sz="4" w:space="0" w:color="000000"/>
            </w:tcBorders>
          </w:tcPr>
          <w:p w14:paraId="52A5EB03"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Zwozdiak-Myers is mentioned but not quoted properly; paraphrase include: ‘form of reasoning’ becomes ‘disposition’; ‘emancipatory interests’ becomes ‘pedagogical interests’</w:t>
            </w:r>
          </w:p>
        </w:tc>
      </w:tr>
      <w:tr w:rsidR="001142E9" w14:paraId="52A5EB0D" w14:textId="77777777">
        <w:tc>
          <w:tcPr>
            <w:tcW w:w="845" w:type="dxa"/>
            <w:tcBorders>
              <w:top w:val="single" w:sz="4" w:space="0" w:color="000000"/>
              <w:left w:val="single" w:sz="4" w:space="0" w:color="000000"/>
              <w:bottom w:val="single" w:sz="4" w:space="0" w:color="000000"/>
              <w:right w:val="single" w:sz="4" w:space="0" w:color="000000"/>
            </w:tcBorders>
          </w:tcPr>
          <w:p w14:paraId="52A5EB0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58</w:t>
            </w:r>
          </w:p>
        </w:tc>
        <w:tc>
          <w:tcPr>
            <w:tcW w:w="937" w:type="dxa"/>
            <w:tcBorders>
              <w:top w:val="single" w:sz="4" w:space="0" w:color="000000"/>
              <w:left w:val="single" w:sz="4" w:space="0" w:color="000000"/>
              <w:bottom w:val="single" w:sz="4" w:space="0" w:color="000000"/>
              <w:right w:val="single" w:sz="4" w:space="0" w:color="000000"/>
            </w:tcBorders>
          </w:tcPr>
          <w:p w14:paraId="52A5EB06"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33</w:t>
            </w:r>
          </w:p>
        </w:tc>
        <w:tc>
          <w:tcPr>
            <w:tcW w:w="4309" w:type="dxa"/>
            <w:tcBorders>
              <w:top w:val="single" w:sz="4" w:space="0" w:color="000000"/>
              <w:left w:val="single" w:sz="4" w:space="0" w:color="000000"/>
              <w:bottom w:val="single" w:sz="4" w:space="0" w:color="000000"/>
              <w:right w:val="single" w:sz="4" w:space="0" w:color="000000"/>
            </w:tcBorders>
          </w:tcPr>
          <w:p w14:paraId="52A5EB07"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Habermas’ endeavour to immerse theoretical and practical underpinnings within a comprehensive theory of rationality has received critique and challenge. </w:t>
            </w:r>
          </w:p>
          <w:p w14:paraId="52A5EB08"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09"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Habermas’ endeavour to incorporate theoretical and practical reasoning within a comprehensive theory of rationality has been challenged.</w:t>
            </w:r>
          </w:p>
          <w:p w14:paraId="52A5EB0A"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0B"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Near-verbatim; minor substitution of words</w:t>
            </w:r>
          </w:p>
        </w:tc>
        <w:tc>
          <w:tcPr>
            <w:tcW w:w="1913" w:type="dxa"/>
            <w:tcBorders>
              <w:top w:val="single" w:sz="4" w:space="0" w:color="000000"/>
              <w:left w:val="single" w:sz="4" w:space="0" w:color="000000"/>
              <w:bottom w:val="single" w:sz="4" w:space="0" w:color="000000"/>
              <w:right w:val="single" w:sz="4" w:space="0" w:color="000000"/>
            </w:tcBorders>
          </w:tcPr>
          <w:p w14:paraId="52A5EB0C"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‘underpinnings’ for ‘reasoning’; insertion of ‘critique’</w:t>
            </w:r>
          </w:p>
        </w:tc>
      </w:tr>
      <w:tr w:rsidR="001142E9" w14:paraId="52A5EB1A" w14:textId="77777777">
        <w:tc>
          <w:tcPr>
            <w:tcW w:w="845" w:type="dxa"/>
            <w:tcBorders>
              <w:top w:val="single" w:sz="4" w:space="0" w:color="000000"/>
              <w:left w:val="single" w:sz="4" w:space="0" w:color="000000"/>
              <w:bottom w:val="single" w:sz="4" w:space="0" w:color="000000"/>
              <w:right w:val="single" w:sz="4" w:space="0" w:color="000000"/>
            </w:tcBorders>
          </w:tcPr>
          <w:p w14:paraId="52A5EB0E"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58-59</w:t>
            </w:r>
          </w:p>
        </w:tc>
        <w:tc>
          <w:tcPr>
            <w:tcW w:w="937" w:type="dxa"/>
            <w:tcBorders>
              <w:top w:val="single" w:sz="4" w:space="0" w:color="000000"/>
              <w:left w:val="single" w:sz="4" w:space="0" w:color="000000"/>
              <w:bottom w:val="single" w:sz="4" w:space="0" w:color="000000"/>
              <w:right w:val="single" w:sz="4" w:space="0" w:color="000000"/>
            </w:tcBorders>
          </w:tcPr>
          <w:p w14:paraId="52A5EB0F"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33</w:t>
            </w:r>
          </w:p>
        </w:tc>
        <w:tc>
          <w:tcPr>
            <w:tcW w:w="4309" w:type="dxa"/>
            <w:tcBorders>
              <w:top w:val="single" w:sz="4" w:space="0" w:color="000000"/>
              <w:left w:val="single" w:sz="4" w:space="0" w:color="000000"/>
              <w:bottom w:val="single" w:sz="4" w:space="0" w:color="000000"/>
              <w:right w:val="single" w:sz="4" w:space="0" w:color="000000"/>
            </w:tcBorders>
          </w:tcPr>
          <w:p w14:paraId="52A5EB10"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Specifically, a pertinent concern is the inability of Habermas’ to demonstrate how theoretical critiques of powerful ideological forces, have distorted and suppressed ‘practical reasoning (phronesis) within societal institutions, with regards to justifying social and political action on the part of the enlightened’ (Elliott, 2005: 361). Such justifications, have led some critics (Bernstein, 1976) to argue that Habermas failed to demonstrate the unity or link between theory and practice (praxis). </w:t>
            </w:r>
          </w:p>
          <w:p w14:paraId="52A5EB11"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12"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Of major concern was Habermas‟ inability to show how a theoretical critique of the powerful ideological forces that have distorted and suppressed practical reasoning (phronesis) in our institutions can provide reasons for justifying social and political action on the part of the enlightened‟ (Elliott, 2005: 361). By not doing so, some critics (Bernstein, 1976) argued that Habermas failed to demonstrate the unity of theory and practice.</w:t>
            </w:r>
          </w:p>
          <w:p w14:paraId="52A5EB13" w14:textId="77777777" w:rsidR="001142E9" w:rsidRDefault="001142E9">
            <w:pPr>
              <w:widowControl w:val="0"/>
              <w:spacing w:after="0" w:line="240" w:lineRule="auto"/>
              <w:rPr>
                <w:rFonts w:ascii="Arial" w:hAnsi="Arial" w:cs="Arial"/>
                <w:color w:val="000000"/>
                <w:sz w:val="22"/>
                <w:szCs w:val="22"/>
              </w:rPr>
            </w:pPr>
          </w:p>
          <w:p w14:paraId="52A5EB14"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1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Verbatim/close verbatim, including use of Greek terms identical references</w:t>
            </w:r>
          </w:p>
        </w:tc>
        <w:tc>
          <w:tcPr>
            <w:tcW w:w="1913" w:type="dxa"/>
            <w:tcBorders>
              <w:top w:val="single" w:sz="4" w:space="0" w:color="000000"/>
              <w:left w:val="single" w:sz="4" w:space="0" w:color="000000"/>
              <w:bottom w:val="single" w:sz="4" w:space="0" w:color="000000"/>
              <w:right w:val="single" w:sz="4" w:space="0" w:color="000000"/>
            </w:tcBorders>
          </w:tcPr>
          <w:p w14:paraId="52A5EB16"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References are listed in the same order as Z-M (Elliott, Bernstein).</w:t>
            </w:r>
          </w:p>
          <w:p w14:paraId="52A5EB17" w14:textId="77777777" w:rsidR="001142E9" w:rsidRDefault="001142E9">
            <w:pPr>
              <w:widowControl w:val="0"/>
              <w:spacing w:after="0" w:line="240" w:lineRule="auto"/>
              <w:rPr>
                <w:rFonts w:ascii="Arial" w:hAnsi="Arial" w:cs="Arial"/>
                <w:color w:val="000000"/>
                <w:sz w:val="22"/>
                <w:szCs w:val="22"/>
              </w:rPr>
            </w:pPr>
          </w:p>
          <w:p w14:paraId="52A5EB18" w14:textId="77777777" w:rsidR="001142E9" w:rsidRDefault="001142E9">
            <w:pPr>
              <w:widowControl w:val="0"/>
              <w:spacing w:after="0" w:line="240" w:lineRule="auto"/>
              <w:rPr>
                <w:rFonts w:ascii="Arial" w:hAnsi="Arial" w:cs="Arial"/>
                <w:color w:val="000000"/>
                <w:sz w:val="22"/>
                <w:szCs w:val="22"/>
              </w:rPr>
            </w:pPr>
          </w:p>
          <w:p w14:paraId="52A5EB19"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Addition of ‘praxis’ after ‘practice’</w:t>
            </w:r>
          </w:p>
        </w:tc>
      </w:tr>
      <w:tr w:rsidR="001142E9" w14:paraId="52A5EB22" w14:textId="77777777">
        <w:tc>
          <w:tcPr>
            <w:tcW w:w="845" w:type="dxa"/>
            <w:tcBorders>
              <w:top w:val="single" w:sz="4" w:space="0" w:color="000000"/>
              <w:left w:val="single" w:sz="4" w:space="0" w:color="000000"/>
              <w:bottom w:val="single" w:sz="4" w:space="0" w:color="000000"/>
              <w:right w:val="single" w:sz="4" w:space="0" w:color="000000"/>
            </w:tcBorders>
          </w:tcPr>
          <w:p w14:paraId="52A5EB1B"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59</w:t>
            </w:r>
          </w:p>
        </w:tc>
        <w:tc>
          <w:tcPr>
            <w:tcW w:w="937" w:type="dxa"/>
            <w:tcBorders>
              <w:top w:val="single" w:sz="4" w:space="0" w:color="000000"/>
              <w:left w:val="single" w:sz="4" w:space="0" w:color="000000"/>
              <w:bottom w:val="single" w:sz="4" w:space="0" w:color="000000"/>
              <w:right w:val="single" w:sz="4" w:space="0" w:color="000000"/>
            </w:tcBorders>
          </w:tcPr>
          <w:p w14:paraId="52A5EB1C"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33</w:t>
            </w:r>
          </w:p>
        </w:tc>
        <w:tc>
          <w:tcPr>
            <w:tcW w:w="4309" w:type="dxa"/>
            <w:tcBorders>
              <w:top w:val="single" w:sz="4" w:space="0" w:color="000000"/>
              <w:left w:val="single" w:sz="4" w:space="0" w:color="000000"/>
              <w:bottom w:val="single" w:sz="4" w:space="0" w:color="000000"/>
              <w:right w:val="single" w:sz="4" w:space="0" w:color="000000"/>
            </w:tcBorders>
          </w:tcPr>
          <w:p w14:paraId="52A5EB1D"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Bernstein  (1976: 192) claims the knowledge and constitutive interests reflect Habermas’ attempt to go beyond epistemology, in attempting to develop a philosophical anthropology that ‘singles out the distinctive characteristics of human social life’.  (pp 58–59).</w:t>
            </w:r>
          </w:p>
        </w:tc>
        <w:tc>
          <w:tcPr>
            <w:tcW w:w="4251" w:type="dxa"/>
            <w:tcBorders>
              <w:top w:val="single" w:sz="4" w:space="0" w:color="000000"/>
              <w:left w:val="single" w:sz="4" w:space="0" w:color="000000"/>
              <w:bottom w:val="single" w:sz="4" w:space="0" w:color="000000"/>
              <w:right w:val="single" w:sz="4" w:space="0" w:color="000000"/>
            </w:tcBorders>
          </w:tcPr>
          <w:p w14:paraId="52A5EB1E"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Bernstein (1976: 192) claims the knowledge constitutive interests reflect Habermas‟ attempt to go beyond epistemology, to develop a philosophical anthropology „that singles out the distinctive characteristics of human social life‟. </w:t>
            </w:r>
          </w:p>
          <w:p w14:paraId="52A5EB1F"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20"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Verbatim, including reference to Bernstein</w:t>
            </w:r>
          </w:p>
        </w:tc>
        <w:tc>
          <w:tcPr>
            <w:tcW w:w="1913" w:type="dxa"/>
            <w:tcBorders>
              <w:top w:val="single" w:sz="4" w:space="0" w:color="000000"/>
              <w:left w:val="single" w:sz="4" w:space="0" w:color="000000"/>
              <w:bottom w:val="single" w:sz="4" w:space="0" w:color="000000"/>
              <w:right w:val="single" w:sz="4" w:space="0" w:color="000000"/>
            </w:tcBorders>
          </w:tcPr>
          <w:p w14:paraId="52A5EB21" w14:textId="77777777" w:rsidR="001142E9" w:rsidRDefault="001142E9">
            <w:pPr>
              <w:widowControl w:val="0"/>
              <w:spacing w:after="0" w:line="240" w:lineRule="auto"/>
              <w:rPr>
                <w:rFonts w:ascii="Arial" w:hAnsi="Arial" w:cs="Arial"/>
                <w:color w:val="000000"/>
                <w:sz w:val="22"/>
                <w:szCs w:val="22"/>
              </w:rPr>
            </w:pPr>
          </w:p>
        </w:tc>
      </w:tr>
      <w:tr w:rsidR="001142E9" w14:paraId="52A5EB2B" w14:textId="77777777">
        <w:tc>
          <w:tcPr>
            <w:tcW w:w="845" w:type="dxa"/>
            <w:tcBorders>
              <w:top w:val="single" w:sz="4" w:space="0" w:color="000000"/>
              <w:left w:val="single" w:sz="4" w:space="0" w:color="000000"/>
              <w:bottom w:val="single" w:sz="4" w:space="0" w:color="000000"/>
              <w:right w:val="single" w:sz="4" w:space="0" w:color="000000"/>
            </w:tcBorders>
          </w:tcPr>
          <w:p w14:paraId="52A5EB23"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59</w:t>
            </w:r>
          </w:p>
        </w:tc>
        <w:tc>
          <w:tcPr>
            <w:tcW w:w="937" w:type="dxa"/>
            <w:tcBorders>
              <w:top w:val="single" w:sz="4" w:space="0" w:color="000000"/>
              <w:left w:val="single" w:sz="4" w:space="0" w:color="000000"/>
              <w:bottom w:val="single" w:sz="4" w:space="0" w:color="000000"/>
              <w:right w:val="single" w:sz="4" w:space="0" w:color="000000"/>
            </w:tcBorders>
          </w:tcPr>
          <w:p w14:paraId="52A5EB24"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33</w:t>
            </w:r>
          </w:p>
        </w:tc>
        <w:tc>
          <w:tcPr>
            <w:tcW w:w="4309" w:type="dxa"/>
            <w:tcBorders>
              <w:top w:val="single" w:sz="4" w:space="0" w:color="000000"/>
              <w:left w:val="single" w:sz="4" w:space="0" w:color="000000"/>
              <w:bottom w:val="single" w:sz="4" w:space="0" w:color="000000"/>
              <w:right w:val="single" w:sz="4" w:space="0" w:color="000000"/>
            </w:tcBorders>
          </w:tcPr>
          <w:p w14:paraId="52A5EB2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Importantly, Habermas regards such discourse as basic human interests because this dialogue remains situated in the confines of what makes human social life distinctive. As such, they determine what transpires as knowledge and the appropriate methods of discovering, accessing and measuring such constructs.</w:t>
            </w:r>
          </w:p>
          <w:p w14:paraId="52A5EB26"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27"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Habermas regards them as basic human interests because they are grounded in what makes human social life distinctive. As such, they determine what counts as knowledge and the appropriate methods of discovering and verifying it. </w:t>
            </w:r>
          </w:p>
          <w:p w14:paraId="52A5EB28"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29"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Verbatim, following by close paraphrase</w:t>
            </w:r>
          </w:p>
        </w:tc>
        <w:tc>
          <w:tcPr>
            <w:tcW w:w="1913" w:type="dxa"/>
            <w:tcBorders>
              <w:top w:val="single" w:sz="4" w:space="0" w:color="000000"/>
              <w:left w:val="single" w:sz="4" w:space="0" w:color="000000"/>
              <w:bottom w:val="single" w:sz="4" w:space="0" w:color="000000"/>
              <w:right w:val="single" w:sz="4" w:space="0" w:color="000000"/>
            </w:tcBorders>
          </w:tcPr>
          <w:p w14:paraId="52A5EB2A"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Habermas referenced again; note ‘because this dialogue is situation’ replaces ‘because they are grounded in’</w:t>
            </w:r>
          </w:p>
        </w:tc>
      </w:tr>
      <w:tr w:rsidR="001142E9" w14:paraId="52A5EB34" w14:textId="77777777">
        <w:tc>
          <w:tcPr>
            <w:tcW w:w="845" w:type="dxa"/>
            <w:tcBorders>
              <w:top w:val="single" w:sz="4" w:space="0" w:color="000000"/>
              <w:left w:val="single" w:sz="4" w:space="0" w:color="000000"/>
              <w:bottom w:val="single" w:sz="4" w:space="0" w:color="000000"/>
              <w:right w:val="single" w:sz="4" w:space="0" w:color="000000"/>
            </w:tcBorders>
          </w:tcPr>
          <w:p w14:paraId="52A5EB2C"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59</w:t>
            </w:r>
          </w:p>
        </w:tc>
        <w:tc>
          <w:tcPr>
            <w:tcW w:w="937" w:type="dxa"/>
            <w:tcBorders>
              <w:top w:val="single" w:sz="4" w:space="0" w:color="000000"/>
              <w:left w:val="single" w:sz="4" w:space="0" w:color="000000"/>
              <w:bottom w:val="single" w:sz="4" w:space="0" w:color="000000"/>
              <w:right w:val="single" w:sz="4" w:space="0" w:color="000000"/>
            </w:tcBorders>
          </w:tcPr>
          <w:p w14:paraId="52A5EB2D"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33-34</w:t>
            </w:r>
          </w:p>
        </w:tc>
        <w:tc>
          <w:tcPr>
            <w:tcW w:w="4309" w:type="dxa"/>
            <w:tcBorders>
              <w:top w:val="single" w:sz="4" w:space="0" w:color="000000"/>
              <w:left w:val="single" w:sz="4" w:space="0" w:color="000000"/>
              <w:bottom w:val="single" w:sz="4" w:space="0" w:color="000000"/>
              <w:right w:val="single" w:sz="4" w:space="0" w:color="000000"/>
            </w:tcBorders>
          </w:tcPr>
          <w:p w14:paraId="52A5EB2E"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However, Bernstein (1976: 209) queries the lack of synergy and similarity between forms of knowledge and enquiry constructed by emancipatory interests, and those established by technical and practical structures. He argues that the former is substantive and normative, with regards to the specific aim of enquiry being pre-judged and to some extents pre-determined, whereas the latter resonates with formal conditions of enquiry and knowledge acquisition, which do not pre-judge or pre-determine specific outcome</w:t>
            </w:r>
            <w:r>
              <w:rPr>
                <w:rFonts w:ascii="Arial" w:hAnsi="Arial" w:cs="Arial"/>
                <w:color w:val="000000"/>
                <w:sz w:val="22"/>
                <w:szCs w:val="22"/>
              </w:rPr>
              <w:t>s.</w:t>
            </w:r>
          </w:p>
          <w:p w14:paraId="52A5EB2F"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30"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However, Bernstein (ibid: 209) questions the lack of symmetry between forms of knowledge and enquiry constituted by emancipatory interests, and those constituted by technical and practical interests. He argues that the former is substantive and normative inasmuch as the specific aim of enquiry is prejudged, whereas the latter are formal conditions of enquiry, which do not prejudge specific outcomes.</w:t>
            </w:r>
          </w:p>
          <w:p w14:paraId="52A5EB31"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32"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Verbatim sentence, including referenced followed by near-verbatim/ close paraphrase of ZM</w:t>
            </w:r>
          </w:p>
        </w:tc>
        <w:tc>
          <w:tcPr>
            <w:tcW w:w="1913" w:type="dxa"/>
            <w:tcBorders>
              <w:top w:val="single" w:sz="4" w:space="0" w:color="000000"/>
              <w:left w:val="single" w:sz="4" w:space="0" w:color="000000"/>
              <w:bottom w:val="single" w:sz="4" w:space="0" w:color="000000"/>
              <w:right w:val="single" w:sz="4" w:space="0" w:color="000000"/>
            </w:tcBorders>
          </w:tcPr>
          <w:p w14:paraId="52A5EB33"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Note same lexicon: ‘knowledge and enquiry’; ‘emancipatory interests’; substantive and normative’; ‘prejudged’; insertion of ‘pre-determined’</w:t>
            </w:r>
          </w:p>
        </w:tc>
      </w:tr>
      <w:tr w:rsidR="001142E9" w14:paraId="52A5EB3E" w14:textId="77777777">
        <w:tc>
          <w:tcPr>
            <w:tcW w:w="845" w:type="dxa"/>
            <w:tcBorders>
              <w:top w:val="single" w:sz="4" w:space="0" w:color="000000"/>
              <w:left w:val="single" w:sz="4" w:space="0" w:color="000000"/>
              <w:bottom w:val="single" w:sz="4" w:space="0" w:color="000000"/>
              <w:right w:val="single" w:sz="4" w:space="0" w:color="000000"/>
            </w:tcBorders>
          </w:tcPr>
          <w:p w14:paraId="52A5EB3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59</w:t>
            </w:r>
          </w:p>
        </w:tc>
        <w:tc>
          <w:tcPr>
            <w:tcW w:w="937" w:type="dxa"/>
            <w:tcBorders>
              <w:top w:val="single" w:sz="4" w:space="0" w:color="000000"/>
              <w:left w:val="single" w:sz="4" w:space="0" w:color="000000"/>
              <w:bottom w:val="single" w:sz="4" w:space="0" w:color="000000"/>
              <w:right w:val="single" w:sz="4" w:space="0" w:color="000000"/>
            </w:tcBorders>
          </w:tcPr>
          <w:p w14:paraId="52A5EB36"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34</w:t>
            </w:r>
          </w:p>
        </w:tc>
        <w:tc>
          <w:tcPr>
            <w:tcW w:w="4309" w:type="dxa"/>
            <w:tcBorders>
              <w:top w:val="single" w:sz="4" w:space="0" w:color="000000"/>
              <w:left w:val="single" w:sz="4" w:space="0" w:color="000000"/>
              <w:bottom w:val="single" w:sz="4" w:space="0" w:color="000000"/>
              <w:right w:val="single" w:sz="4" w:space="0" w:color="000000"/>
            </w:tcBorders>
          </w:tcPr>
          <w:p w14:paraId="52A5EB37"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Themes common to Dewey and Habermas’ conceptualisation of reflective practice are their subjective interpretations relating to the process of reflection, which serves to develop, generate and acquire new knowledge. From a subjective disposition, such views posited could be perceived as complementary in that ‘Dewey considers the processes and Habermas… the place of the process in the acquisition, development and consideration of knowledge construction’(Moon, 1999: 15). </w:t>
            </w:r>
          </w:p>
          <w:p w14:paraId="52A5EB38"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39"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Themes common to Dewey and Habermas‟ conceptualisation of reflective practice are their interpretations of reflection as a process, which serves both to develop and generate knowledge. </w:t>
            </w:r>
          </w:p>
          <w:p w14:paraId="52A5EB3A"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Their views may be considered complementary in that „Dewey considers the process, and Habermas…the place of the process in the acquisition, development and consideration of knowledge‟ (Moon, 1999)</w:t>
            </w:r>
          </w:p>
          <w:p w14:paraId="52A5EB3B"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3C"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Verbatim, followed by some insertion of ‘subjective disposition’; returns to verbatim</w:t>
            </w:r>
          </w:p>
        </w:tc>
        <w:tc>
          <w:tcPr>
            <w:tcW w:w="1913" w:type="dxa"/>
            <w:tcBorders>
              <w:top w:val="single" w:sz="4" w:space="0" w:color="000000"/>
              <w:left w:val="single" w:sz="4" w:space="0" w:color="000000"/>
              <w:bottom w:val="single" w:sz="4" w:space="0" w:color="000000"/>
              <w:right w:val="single" w:sz="4" w:space="0" w:color="000000"/>
            </w:tcBorders>
          </w:tcPr>
          <w:p w14:paraId="52A5EB3D"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Finished with the same reference: Moon, 1999</w:t>
            </w:r>
          </w:p>
        </w:tc>
      </w:tr>
      <w:tr w:rsidR="001142E9" w14:paraId="52A5EB4C" w14:textId="77777777">
        <w:tc>
          <w:tcPr>
            <w:tcW w:w="845" w:type="dxa"/>
            <w:tcBorders>
              <w:top w:val="single" w:sz="4" w:space="0" w:color="000000"/>
              <w:left w:val="single" w:sz="4" w:space="0" w:color="000000"/>
              <w:bottom w:val="single" w:sz="4" w:space="0" w:color="000000"/>
              <w:right w:val="single" w:sz="4" w:space="0" w:color="000000"/>
            </w:tcBorders>
          </w:tcPr>
          <w:p w14:paraId="52A5EB3F"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59</w:t>
            </w:r>
          </w:p>
        </w:tc>
        <w:tc>
          <w:tcPr>
            <w:tcW w:w="937" w:type="dxa"/>
            <w:tcBorders>
              <w:top w:val="single" w:sz="4" w:space="0" w:color="000000"/>
              <w:left w:val="single" w:sz="4" w:space="0" w:color="000000"/>
              <w:bottom w:val="single" w:sz="4" w:space="0" w:color="000000"/>
              <w:right w:val="single" w:sz="4" w:space="0" w:color="000000"/>
            </w:tcBorders>
          </w:tcPr>
          <w:p w14:paraId="52A5EB40"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34</w:t>
            </w:r>
          </w:p>
        </w:tc>
        <w:tc>
          <w:tcPr>
            <w:tcW w:w="4309" w:type="dxa"/>
            <w:tcBorders>
              <w:top w:val="single" w:sz="4" w:space="0" w:color="000000"/>
              <w:left w:val="single" w:sz="4" w:space="0" w:color="000000"/>
              <w:bottom w:val="single" w:sz="4" w:space="0" w:color="000000"/>
              <w:right w:val="single" w:sz="4" w:space="0" w:color="000000"/>
            </w:tcBorders>
          </w:tcPr>
          <w:p w14:paraId="52A5EB41" w14:textId="77777777" w:rsidR="001142E9" w:rsidRDefault="002B3BB7">
            <w:pPr>
              <w:widowControl w:val="0"/>
              <w:rPr>
                <w:rFonts w:ascii="Arial" w:hAnsi="Arial" w:cs="Arial"/>
                <w:sz w:val="22"/>
                <w:szCs w:val="22"/>
              </w:rPr>
            </w:pPr>
            <w:r>
              <w:rPr>
                <w:rFonts w:ascii="Arial" w:hAnsi="Arial" w:cs="Arial"/>
                <w:sz w:val="22"/>
                <w:szCs w:val="22"/>
              </w:rPr>
              <w:t xml:space="preserve">Habermas’ discourse suggests reflective student teachers are those that stimulate or cultivate particular forms of knowledge. </w:t>
            </w:r>
          </w:p>
          <w:p w14:paraId="52A5EB42" w14:textId="77777777" w:rsidR="001142E9" w:rsidRDefault="002B3BB7">
            <w:pPr>
              <w:widowControl w:val="0"/>
              <w:rPr>
                <w:rFonts w:ascii="Arial" w:hAnsi="Arial" w:cs="Arial"/>
                <w:sz w:val="22"/>
                <w:szCs w:val="22"/>
              </w:rPr>
            </w:pPr>
            <w:r>
              <w:rPr>
                <w:rFonts w:ascii="Arial" w:hAnsi="Arial" w:cs="Arial"/>
                <w:sz w:val="22"/>
                <w:szCs w:val="22"/>
              </w:rPr>
              <w:t>When the motivation or underlying purpose which guides reflective practice is considered however, a distinction between their approaches becomes evident (Bradbury, 2010; Ghaye, 2011)</w:t>
            </w:r>
          </w:p>
          <w:p w14:paraId="52A5EB43"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44"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Habermas’ discourse suggests reflective student teachers are those who generate or develop particular forms of knowledge. </w:t>
            </w:r>
          </w:p>
          <w:p w14:paraId="52A5EB4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When the motivation or underlying driving force which guides reflective practice is considered however, a distinction between their approaches becomes evident. </w:t>
            </w:r>
          </w:p>
          <w:p w14:paraId="52A5EB46"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47"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Near-verbatim</w:t>
            </w:r>
          </w:p>
        </w:tc>
        <w:tc>
          <w:tcPr>
            <w:tcW w:w="1913" w:type="dxa"/>
            <w:tcBorders>
              <w:top w:val="single" w:sz="4" w:space="0" w:color="000000"/>
              <w:left w:val="single" w:sz="4" w:space="0" w:color="000000"/>
              <w:bottom w:val="single" w:sz="4" w:space="0" w:color="000000"/>
              <w:right w:val="single" w:sz="4" w:space="0" w:color="000000"/>
            </w:tcBorders>
          </w:tcPr>
          <w:p w14:paraId="52A5EB48"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Insertion of Bradbury and Ghaye reference at the end</w:t>
            </w:r>
          </w:p>
          <w:p w14:paraId="52A5EB49" w14:textId="77777777" w:rsidR="001142E9" w:rsidRDefault="001142E9">
            <w:pPr>
              <w:widowControl w:val="0"/>
              <w:spacing w:after="0" w:line="240" w:lineRule="auto"/>
              <w:rPr>
                <w:rFonts w:ascii="Arial" w:hAnsi="Arial" w:cs="Arial"/>
                <w:color w:val="000000"/>
                <w:sz w:val="22"/>
                <w:szCs w:val="22"/>
              </w:rPr>
            </w:pPr>
          </w:p>
          <w:p w14:paraId="52A5EB4A"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Paraphrases: ‘generate or develop’ in Z-M becomes ‘stimulate or cultivate’ in Arday</w:t>
            </w:r>
          </w:p>
          <w:p w14:paraId="52A5EB4B" w14:textId="77777777" w:rsidR="001142E9" w:rsidRDefault="001142E9">
            <w:pPr>
              <w:widowControl w:val="0"/>
              <w:spacing w:after="0" w:line="240" w:lineRule="auto"/>
              <w:rPr>
                <w:rFonts w:ascii="Arial" w:hAnsi="Arial" w:cs="Arial"/>
                <w:color w:val="000000"/>
                <w:sz w:val="22"/>
                <w:szCs w:val="22"/>
              </w:rPr>
            </w:pPr>
          </w:p>
        </w:tc>
      </w:tr>
      <w:tr w:rsidR="001142E9" w14:paraId="52A5EB54" w14:textId="77777777">
        <w:tc>
          <w:tcPr>
            <w:tcW w:w="845" w:type="dxa"/>
            <w:tcBorders>
              <w:top w:val="single" w:sz="4" w:space="0" w:color="000000"/>
              <w:left w:val="single" w:sz="4" w:space="0" w:color="000000"/>
              <w:bottom w:val="single" w:sz="4" w:space="0" w:color="000000"/>
              <w:right w:val="single" w:sz="4" w:space="0" w:color="000000"/>
            </w:tcBorders>
          </w:tcPr>
          <w:p w14:paraId="52A5EB4D"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59</w:t>
            </w:r>
          </w:p>
        </w:tc>
        <w:tc>
          <w:tcPr>
            <w:tcW w:w="937" w:type="dxa"/>
            <w:tcBorders>
              <w:top w:val="single" w:sz="4" w:space="0" w:color="000000"/>
              <w:left w:val="single" w:sz="4" w:space="0" w:color="000000"/>
              <w:bottom w:val="single" w:sz="4" w:space="0" w:color="000000"/>
              <w:right w:val="single" w:sz="4" w:space="0" w:color="000000"/>
            </w:tcBorders>
          </w:tcPr>
          <w:p w14:paraId="52A5EB4E"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34</w:t>
            </w:r>
          </w:p>
        </w:tc>
        <w:tc>
          <w:tcPr>
            <w:tcW w:w="4309" w:type="dxa"/>
            <w:tcBorders>
              <w:top w:val="single" w:sz="4" w:space="0" w:color="000000"/>
              <w:left w:val="single" w:sz="4" w:space="0" w:color="000000"/>
              <w:bottom w:val="single" w:sz="4" w:space="0" w:color="000000"/>
              <w:right w:val="single" w:sz="4" w:space="0" w:color="000000"/>
            </w:tcBorders>
          </w:tcPr>
          <w:p w14:paraId="52A5EB4F"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Dewey’s conceptualisation of reflection is embedded within the social science paradigm, where interpretation is constructed from ‘making sense of the world’ for effective and productive education to transpire; whereas Habermas’ conceptualisation derives from the ideal of empowerment and political emancipation (Morrison, 1995) towards freedom, justice and the acquiring of truth, as a basis for knowledge construction. </w:t>
            </w:r>
          </w:p>
          <w:p w14:paraId="52A5EB50"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51"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Dewey’s conceptualisation is embedded within the social sciences in which interpretations focus on „making sense of the world‟ for the purpose of effective education; whereas Habermas‟ conceptualisation drives toward the ideals of empowerment and political emancipation (Morrison, 1995) towards freedom, justice and the pursuit of truth</w:t>
            </w:r>
          </w:p>
        </w:tc>
        <w:tc>
          <w:tcPr>
            <w:tcW w:w="1702" w:type="dxa"/>
            <w:tcBorders>
              <w:top w:val="single" w:sz="4" w:space="0" w:color="000000"/>
              <w:left w:val="single" w:sz="4" w:space="0" w:color="000000"/>
              <w:bottom w:val="single" w:sz="4" w:space="0" w:color="000000"/>
              <w:right w:val="single" w:sz="4" w:space="0" w:color="000000"/>
            </w:tcBorders>
          </w:tcPr>
          <w:p w14:paraId="52A5EB52"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Near-verbatim, disrupted by the insertion of ‘paradigm, adds ‘basis for knowledge construction’</w:t>
            </w:r>
          </w:p>
        </w:tc>
        <w:tc>
          <w:tcPr>
            <w:tcW w:w="1913" w:type="dxa"/>
            <w:tcBorders>
              <w:top w:val="single" w:sz="4" w:space="0" w:color="000000"/>
              <w:left w:val="single" w:sz="4" w:space="0" w:color="000000"/>
              <w:bottom w:val="single" w:sz="4" w:space="0" w:color="000000"/>
              <w:right w:val="single" w:sz="4" w:space="0" w:color="000000"/>
            </w:tcBorders>
          </w:tcPr>
          <w:p w14:paraId="52A5EB53"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Insertion of ‘to transpire’</w:t>
            </w:r>
          </w:p>
        </w:tc>
      </w:tr>
      <w:tr w:rsidR="001142E9" w14:paraId="52A5EB5F" w14:textId="77777777">
        <w:tc>
          <w:tcPr>
            <w:tcW w:w="845" w:type="dxa"/>
            <w:tcBorders>
              <w:top w:val="single" w:sz="4" w:space="0" w:color="000000"/>
              <w:left w:val="single" w:sz="4" w:space="0" w:color="000000"/>
              <w:bottom w:val="single" w:sz="4" w:space="0" w:color="000000"/>
              <w:right w:val="single" w:sz="4" w:space="0" w:color="000000"/>
            </w:tcBorders>
          </w:tcPr>
          <w:p w14:paraId="52A5EB5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59</w:t>
            </w:r>
          </w:p>
        </w:tc>
        <w:tc>
          <w:tcPr>
            <w:tcW w:w="937" w:type="dxa"/>
            <w:tcBorders>
              <w:top w:val="single" w:sz="4" w:space="0" w:color="000000"/>
              <w:left w:val="single" w:sz="4" w:space="0" w:color="000000"/>
              <w:bottom w:val="single" w:sz="4" w:space="0" w:color="000000"/>
              <w:right w:val="single" w:sz="4" w:space="0" w:color="000000"/>
            </w:tcBorders>
          </w:tcPr>
          <w:p w14:paraId="52A5EB56"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34</w:t>
            </w:r>
          </w:p>
        </w:tc>
        <w:tc>
          <w:tcPr>
            <w:tcW w:w="4309" w:type="dxa"/>
            <w:tcBorders>
              <w:top w:val="single" w:sz="4" w:space="0" w:color="000000"/>
              <w:left w:val="single" w:sz="4" w:space="0" w:color="000000"/>
              <w:bottom w:val="single" w:sz="4" w:space="0" w:color="000000"/>
              <w:right w:val="single" w:sz="4" w:space="0" w:color="000000"/>
            </w:tcBorders>
          </w:tcPr>
          <w:p w14:paraId="52A5EB57"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Barnett (1997) claims that engagement in reflexive processes encourages student teachers to gain an awareness as to how their actions impact the classroom environment, and more importantly, how they come to understand their situations sufficiently to create the freedoms needed to frame future teaching and learning. </w:t>
            </w:r>
          </w:p>
          <w:p w14:paraId="52A5EB58" w14:textId="77777777" w:rsidR="001142E9" w:rsidRDefault="001142E9">
            <w:pPr>
              <w:widowControl w:val="0"/>
              <w:spacing w:after="0" w:line="240" w:lineRule="auto"/>
              <w:rPr>
                <w:rFonts w:ascii="Arial" w:hAnsi="Arial" w:cs="Arial"/>
                <w:color w:val="000000"/>
                <w:sz w:val="22"/>
                <w:szCs w:val="22"/>
              </w:rPr>
            </w:pPr>
          </w:p>
          <w:p w14:paraId="52A5EB59" w14:textId="77777777" w:rsidR="001142E9" w:rsidRDefault="001142E9">
            <w:pPr>
              <w:widowControl w:val="0"/>
              <w:spacing w:after="0" w:line="240" w:lineRule="auto"/>
              <w:rPr>
                <w:rFonts w:ascii="Arial" w:hAnsi="Arial" w:cs="Arial"/>
                <w:color w:val="000000"/>
                <w:sz w:val="22"/>
                <w:szCs w:val="22"/>
              </w:rPr>
            </w:pPr>
          </w:p>
          <w:p w14:paraId="52A5EB5A"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5B"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Barnett (1997) claims that by reflecting on their own situation student teachers gain awareness as to the causes and consequences of their actions; they come to understand their true situations sufficiently to create the freedoms they need for themselves. </w:t>
            </w:r>
          </w:p>
          <w:p w14:paraId="52A5EB5C"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5D"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Near-verbatim, with extended paraphrase of Z-M’s ‘freedoms they need for themselves’</w:t>
            </w:r>
          </w:p>
        </w:tc>
        <w:tc>
          <w:tcPr>
            <w:tcW w:w="1913" w:type="dxa"/>
            <w:tcBorders>
              <w:top w:val="single" w:sz="4" w:space="0" w:color="000000"/>
              <w:left w:val="single" w:sz="4" w:space="0" w:color="000000"/>
              <w:bottom w:val="single" w:sz="4" w:space="0" w:color="000000"/>
              <w:right w:val="single" w:sz="4" w:space="0" w:color="000000"/>
            </w:tcBorders>
          </w:tcPr>
          <w:p w14:paraId="52A5EB5E"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Final line adds ‘frame future teaching and learning’</w:t>
            </w:r>
          </w:p>
        </w:tc>
      </w:tr>
      <w:tr w:rsidR="001142E9" w14:paraId="52A5EB66" w14:textId="77777777">
        <w:tc>
          <w:tcPr>
            <w:tcW w:w="845" w:type="dxa"/>
            <w:tcBorders>
              <w:top w:val="single" w:sz="4" w:space="0" w:color="000000"/>
              <w:left w:val="single" w:sz="4" w:space="0" w:color="000000"/>
              <w:bottom w:val="single" w:sz="4" w:space="0" w:color="000000"/>
              <w:right w:val="single" w:sz="4" w:space="0" w:color="000000"/>
            </w:tcBorders>
          </w:tcPr>
          <w:p w14:paraId="52A5EB60"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59-60</w:t>
            </w:r>
          </w:p>
        </w:tc>
        <w:tc>
          <w:tcPr>
            <w:tcW w:w="937" w:type="dxa"/>
            <w:tcBorders>
              <w:top w:val="single" w:sz="4" w:space="0" w:color="000000"/>
              <w:left w:val="single" w:sz="4" w:space="0" w:color="000000"/>
              <w:bottom w:val="single" w:sz="4" w:space="0" w:color="000000"/>
              <w:right w:val="single" w:sz="4" w:space="0" w:color="000000"/>
            </w:tcBorders>
          </w:tcPr>
          <w:p w14:paraId="52A5EB61"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34</w:t>
            </w:r>
          </w:p>
        </w:tc>
        <w:tc>
          <w:tcPr>
            <w:tcW w:w="4309" w:type="dxa"/>
            <w:tcBorders>
              <w:top w:val="single" w:sz="4" w:space="0" w:color="000000"/>
              <w:left w:val="single" w:sz="4" w:space="0" w:color="000000"/>
              <w:bottom w:val="single" w:sz="4" w:space="0" w:color="000000"/>
              <w:right w:val="single" w:sz="4" w:space="0" w:color="000000"/>
            </w:tcBorders>
          </w:tcPr>
          <w:p w14:paraId="52A5EB62"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Carr and Kemmis (1986: 157) argue that such processes resonate with critical reflection, as they can illuminate and identify self-evaluation and ideological variances within practices, considerations and structures of educational contexts, with reference developing and improving educational situations for all incumbents within the school landscape</w:t>
            </w:r>
          </w:p>
        </w:tc>
        <w:tc>
          <w:tcPr>
            <w:tcW w:w="4251" w:type="dxa"/>
            <w:tcBorders>
              <w:top w:val="single" w:sz="4" w:space="0" w:color="000000"/>
              <w:left w:val="single" w:sz="4" w:space="0" w:color="000000"/>
              <w:bottom w:val="single" w:sz="4" w:space="0" w:color="000000"/>
              <w:right w:val="single" w:sz="4" w:space="0" w:color="000000"/>
            </w:tcBorders>
          </w:tcPr>
          <w:p w14:paraId="52A5EB63"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Carr and Kemmis (1986: 157) argue that this process, which they associate with critical reflection, can expose and identify self-interests and ideological distortions between practices, understandings and the structure of educational situations “with a view to transforming them in ways which will improve these situations as educational situations for students, teachers and society.”</w:t>
            </w:r>
          </w:p>
        </w:tc>
        <w:tc>
          <w:tcPr>
            <w:tcW w:w="1702" w:type="dxa"/>
            <w:tcBorders>
              <w:top w:val="single" w:sz="4" w:space="0" w:color="000000"/>
              <w:left w:val="single" w:sz="4" w:space="0" w:color="000000"/>
              <w:bottom w:val="single" w:sz="4" w:space="0" w:color="000000"/>
              <w:right w:val="single" w:sz="4" w:space="0" w:color="000000"/>
            </w:tcBorders>
          </w:tcPr>
          <w:p w14:paraId="52A5EB64"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Near-verbatim</w:t>
            </w:r>
          </w:p>
        </w:tc>
        <w:tc>
          <w:tcPr>
            <w:tcW w:w="1913" w:type="dxa"/>
            <w:tcBorders>
              <w:top w:val="single" w:sz="4" w:space="0" w:color="000000"/>
              <w:left w:val="single" w:sz="4" w:space="0" w:color="000000"/>
              <w:bottom w:val="single" w:sz="4" w:space="0" w:color="000000"/>
              <w:right w:val="single" w:sz="4" w:space="0" w:color="000000"/>
            </w:tcBorders>
          </w:tcPr>
          <w:p w14:paraId="52A5EB6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Paraphrase: Final line in Z-M (‘students, teachers and society’) is rendered as ‘for all incumbents within the school landscape’</w:t>
            </w:r>
          </w:p>
        </w:tc>
      </w:tr>
      <w:tr w:rsidR="001142E9" w14:paraId="52A5EB6E" w14:textId="77777777">
        <w:tc>
          <w:tcPr>
            <w:tcW w:w="845" w:type="dxa"/>
            <w:tcBorders>
              <w:top w:val="single" w:sz="4" w:space="0" w:color="000000"/>
              <w:left w:val="single" w:sz="4" w:space="0" w:color="000000"/>
              <w:bottom w:val="single" w:sz="4" w:space="0" w:color="000000"/>
              <w:right w:val="single" w:sz="4" w:space="0" w:color="000000"/>
            </w:tcBorders>
          </w:tcPr>
          <w:p w14:paraId="52A5EB67"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59-60</w:t>
            </w:r>
          </w:p>
        </w:tc>
        <w:tc>
          <w:tcPr>
            <w:tcW w:w="937" w:type="dxa"/>
            <w:tcBorders>
              <w:top w:val="single" w:sz="4" w:space="0" w:color="000000"/>
              <w:left w:val="single" w:sz="4" w:space="0" w:color="000000"/>
              <w:bottom w:val="single" w:sz="4" w:space="0" w:color="000000"/>
              <w:right w:val="single" w:sz="4" w:space="0" w:color="000000"/>
            </w:tcBorders>
          </w:tcPr>
          <w:p w14:paraId="52A5EB68"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34</w:t>
            </w:r>
          </w:p>
        </w:tc>
        <w:tc>
          <w:tcPr>
            <w:tcW w:w="4309" w:type="dxa"/>
            <w:tcBorders>
              <w:top w:val="single" w:sz="4" w:space="0" w:color="000000"/>
              <w:left w:val="single" w:sz="4" w:space="0" w:color="000000"/>
              <w:bottom w:val="single" w:sz="4" w:space="0" w:color="000000"/>
              <w:right w:val="single" w:sz="4" w:space="0" w:color="000000"/>
            </w:tcBorders>
          </w:tcPr>
          <w:p w14:paraId="52A5EB69"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Their interpretation of critical reflection resonates with the position advanced by Moon (1999) with regards to attempting to assist the emancipatory interests of individuals by transforming aspects of educational teaching practice</w:t>
            </w:r>
          </w:p>
        </w:tc>
        <w:tc>
          <w:tcPr>
            <w:tcW w:w="4251" w:type="dxa"/>
            <w:tcBorders>
              <w:top w:val="single" w:sz="4" w:space="0" w:color="000000"/>
              <w:left w:val="single" w:sz="4" w:space="0" w:color="000000"/>
              <w:bottom w:val="single" w:sz="4" w:space="0" w:color="000000"/>
              <w:right w:val="single" w:sz="4" w:space="0" w:color="000000"/>
            </w:tcBorders>
          </w:tcPr>
          <w:p w14:paraId="52A5EB6A"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Their interpretation of critical reflection has synergy with that advanced by Moon (1999) in terms of seeking to serve the emancipatory interests of people by transforming aspects of educational practice.</w:t>
            </w:r>
          </w:p>
        </w:tc>
        <w:tc>
          <w:tcPr>
            <w:tcW w:w="1702" w:type="dxa"/>
            <w:tcBorders>
              <w:top w:val="single" w:sz="4" w:space="0" w:color="000000"/>
              <w:left w:val="single" w:sz="4" w:space="0" w:color="000000"/>
              <w:bottom w:val="single" w:sz="4" w:space="0" w:color="000000"/>
              <w:right w:val="single" w:sz="4" w:space="0" w:color="000000"/>
            </w:tcBorders>
          </w:tcPr>
          <w:p w14:paraId="52A5EB6B"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Substantial verbatim; close paraphrase</w:t>
            </w:r>
          </w:p>
          <w:p w14:paraId="52A5EB6C" w14:textId="77777777" w:rsidR="001142E9" w:rsidRDefault="001142E9">
            <w:pPr>
              <w:widowControl w:val="0"/>
              <w:spacing w:after="0" w:line="240" w:lineRule="auto"/>
              <w:rPr>
                <w:rFonts w:ascii="Arial" w:hAnsi="Arial" w:cs="Arial"/>
                <w:sz w:val="22"/>
                <w:szCs w:val="22"/>
              </w:rPr>
            </w:pPr>
          </w:p>
        </w:tc>
        <w:tc>
          <w:tcPr>
            <w:tcW w:w="1913" w:type="dxa"/>
            <w:tcBorders>
              <w:top w:val="single" w:sz="4" w:space="0" w:color="000000"/>
              <w:left w:val="single" w:sz="4" w:space="0" w:color="000000"/>
              <w:bottom w:val="single" w:sz="4" w:space="0" w:color="000000"/>
              <w:right w:val="single" w:sz="4" w:space="0" w:color="000000"/>
            </w:tcBorders>
          </w:tcPr>
          <w:p w14:paraId="52A5EB6D"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Note similar use of ‘emancipatory interests’; replaces ‘in terms of seeking’ with ‘with regards to attempting’</w:t>
            </w:r>
          </w:p>
        </w:tc>
      </w:tr>
      <w:tr w:rsidR="001142E9" w14:paraId="52A5EB78" w14:textId="77777777">
        <w:tc>
          <w:tcPr>
            <w:tcW w:w="845" w:type="dxa"/>
            <w:tcBorders>
              <w:top w:val="single" w:sz="4" w:space="0" w:color="000000"/>
              <w:left w:val="single" w:sz="4" w:space="0" w:color="000000"/>
              <w:bottom w:val="single" w:sz="4" w:space="0" w:color="000000"/>
              <w:right w:val="single" w:sz="4" w:space="0" w:color="000000"/>
            </w:tcBorders>
          </w:tcPr>
          <w:p w14:paraId="52A5EB6F"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60</w:t>
            </w:r>
          </w:p>
        </w:tc>
        <w:tc>
          <w:tcPr>
            <w:tcW w:w="937" w:type="dxa"/>
            <w:tcBorders>
              <w:top w:val="single" w:sz="4" w:space="0" w:color="000000"/>
              <w:left w:val="single" w:sz="4" w:space="0" w:color="000000"/>
              <w:bottom w:val="single" w:sz="4" w:space="0" w:color="000000"/>
              <w:right w:val="single" w:sz="4" w:space="0" w:color="000000"/>
            </w:tcBorders>
          </w:tcPr>
          <w:p w14:paraId="52A5EB70"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34</w:t>
            </w:r>
          </w:p>
        </w:tc>
        <w:tc>
          <w:tcPr>
            <w:tcW w:w="4309" w:type="dxa"/>
            <w:tcBorders>
              <w:top w:val="single" w:sz="4" w:space="0" w:color="000000"/>
              <w:left w:val="single" w:sz="4" w:space="0" w:color="000000"/>
              <w:bottom w:val="single" w:sz="4" w:space="0" w:color="000000"/>
              <w:right w:val="single" w:sz="4" w:space="0" w:color="000000"/>
            </w:tcBorders>
          </w:tcPr>
          <w:p w14:paraId="52A5EB71"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However, Macdonald and Tinning (2003) suggest this proposition represents a claim for what Carr and Kemmis (1986) believe critical reflection should be rather than an assertion for how this transpires within a practical context. Macdonald and Tinning (2003) assert the apprehensions of practitioners from within the critical reflection community about what reflection has become within contemporary educational discourse. </w:t>
            </w:r>
          </w:p>
          <w:p w14:paraId="52A5EB72"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73"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However, Macdonald and Tinning (2003) suggest this proposition represents a claim for what Carr and Kemmis (1986) believe critical reflection should be rather than a claim for how it is translated in practice. They share concerns of others from the critical reflection community about what reflection has become within contemporary educational discourse. </w:t>
            </w:r>
          </w:p>
          <w:p w14:paraId="52A5EB74"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7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Substantial verbatim copying with paraphrases </w:t>
            </w:r>
          </w:p>
        </w:tc>
        <w:tc>
          <w:tcPr>
            <w:tcW w:w="1913" w:type="dxa"/>
            <w:tcBorders>
              <w:top w:val="single" w:sz="4" w:space="0" w:color="000000"/>
              <w:left w:val="single" w:sz="4" w:space="0" w:color="000000"/>
              <w:bottom w:val="single" w:sz="4" w:space="0" w:color="000000"/>
              <w:right w:val="single" w:sz="4" w:space="0" w:color="000000"/>
            </w:tcBorders>
          </w:tcPr>
          <w:p w14:paraId="52A5EB76"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Paraphrases: </w:t>
            </w:r>
          </w:p>
          <w:p w14:paraId="52A5EB77"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claim’ in Z-M becomes ‘assertion’ in Arday; ‘share concerns’ becomes ‘assert the apprehensions’; ‘others’ becomes ‘practitioners’</w:t>
            </w:r>
          </w:p>
        </w:tc>
      </w:tr>
      <w:tr w:rsidR="001142E9" w14:paraId="52A5EB84" w14:textId="77777777">
        <w:tc>
          <w:tcPr>
            <w:tcW w:w="845" w:type="dxa"/>
            <w:tcBorders>
              <w:top w:val="single" w:sz="4" w:space="0" w:color="000000"/>
              <w:left w:val="single" w:sz="4" w:space="0" w:color="000000"/>
              <w:bottom w:val="single" w:sz="4" w:space="0" w:color="000000"/>
              <w:right w:val="single" w:sz="4" w:space="0" w:color="000000"/>
            </w:tcBorders>
          </w:tcPr>
          <w:p w14:paraId="52A5EB79"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60</w:t>
            </w:r>
          </w:p>
        </w:tc>
        <w:tc>
          <w:tcPr>
            <w:tcW w:w="937" w:type="dxa"/>
            <w:tcBorders>
              <w:top w:val="single" w:sz="4" w:space="0" w:color="000000"/>
              <w:left w:val="single" w:sz="4" w:space="0" w:color="000000"/>
              <w:bottom w:val="single" w:sz="4" w:space="0" w:color="000000"/>
              <w:right w:val="single" w:sz="4" w:space="0" w:color="000000"/>
            </w:tcBorders>
          </w:tcPr>
          <w:p w14:paraId="52A5EB7A"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34-35</w:t>
            </w:r>
          </w:p>
        </w:tc>
        <w:tc>
          <w:tcPr>
            <w:tcW w:w="4309" w:type="dxa"/>
            <w:tcBorders>
              <w:top w:val="single" w:sz="4" w:space="0" w:color="000000"/>
              <w:left w:val="single" w:sz="4" w:space="0" w:color="000000"/>
              <w:bottom w:val="single" w:sz="4" w:space="0" w:color="000000"/>
              <w:right w:val="single" w:sz="4" w:space="0" w:color="000000"/>
            </w:tcBorders>
          </w:tcPr>
          <w:p w14:paraId="52A5EB7B"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The deployment of the term, critical reflection appears to harbour various interpretations, subjective to the context being considered. Calderhead (1989) notes that some meanings define this discourse as the constructive self-criticism of one’s own actions with the objective of improving these actions through such self-critique, contrastingly others argue (Gore, 1987; Wildman and Niles, 1987; Zeichner and Liston, 1996) the concept of critical reflection indicates the acceptance of a particular set of belief</w:t>
            </w:r>
            <w:r>
              <w:rPr>
                <w:rFonts w:ascii="Arial" w:hAnsi="Arial" w:cs="Arial"/>
                <w:color w:val="000000"/>
                <w:sz w:val="22"/>
                <w:szCs w:val="22"/>
              </w:rPr>
              <w:t>s, and in alignment with the epistemological and ontological assumptions that accompany this.</w:t>
            </w:r>
          </w:p>
          <w:p w14:paraId="52A5EB7C"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7D" w14:textId="77777777" w:rsidR="001142E9" w:rsidRDefault="001142E9">
            <w:pPr>
              <w:widowControl w:val="0"/>
              <w:spacing w:after="0" w:line="240" w:lineRule="auto"/>
              <w:rPr>
                <w:rFonts w:ascii="Arial" w:hAnsi="Arial" w:cs="Arial"/>
                <w:color w:val="000000"/>
                <w:sz w:val="22"/>
                <w:szCs w:val="22"/>
              </w:rPr>
            </w:pPr>
          </w:p>
          <w:p w14:paraId="52A5EB7E"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The term    critical   reflection   appears to be used in different ways. </w:t>
            </w:r>
          </w:p>
          <w:p w14:paraId="52A5EB7F"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Calderhead (1989) notes that some take it to mean no more than constructive self-criticism of one’s own actions with a view to improvement whereas others‟ argue (Gore, 1987; McNamara, 1990; Wildman and Niles, 1987; Zeichner and Liston, 1996) the concept of critical reflection</w:t>
            </w:r>
            <w:r>
              <w:rPr>
                <w:rFonts w:ascii="Arial" w:hAnsi="Arial" w:cs="Arial"/>
                <w:color w:val="000000"/>
                <w:sz w:val="22"/>
                <w:szCs w:val="22"/>
              </w:rPr>
              <w:br/>
              <w:t xml:space="preserve">implies the acceptance of a particular ideology, along with its accompanying epistemology and assumptions. </w:t>
            </w:r>
          </w:p>
          <w:p w14:paraId="52A5EB80"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81"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Verbatim, followed by close paraphrase; copies Z-M’s curated literature scaffold and reference list</w:t>
            </w:r>
          </w:p>
        </w:tc>
        <w:tc>
          <w:tcPr>
            <w:tcW w:w="1913" w:type="dxa"/>
            <w:tcBorders>
              <w:top w:val="single" w:sz="4" w:space="0" w:color="000000"/>
              <w:left w:val="single" w:sz="4" w:space="0" w:color="000000"/>
              <w:bottom w:val="single" w:sz="4" w:space="0" w:color="000000"/>
              <w:right w:val="single" w:sz="4" w:space="0" w:color="000000"/>
            </w:tcBorders>
          </w:tcPr>
          <w:p w14:paraId="52A5EB82"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Note use of Calderhead (1989); paraphrases include: ‘view to improvement’ in Z-M becomes ‘with the objective of improving these actions’; ‘whereas’ becomes ‘contrastingly’; Note insertion of ‘ontological’ </w:t>
            </w:r>
          </w:p>
          <w:p w14:paraId="52A5EB83" w14:textId="77777777" w:rsidR="001142E9" w:rsidRDefault="001142E9">
            <w:pPr>
              <w:widowControl w:val="0"/>
              <w:spacing w:after="0" w:line="240" w:lineRule="auto"/>
              <w:rPr>
                <w:rFonts w:ascii="Arial" w:hAnsi="Arial" w:cs="Arial"/>
                <w:color w:val="000000"/>
                <w:sz w:val="22"/>
                <w:szCs w:val="22"/>
              </w:rPr>
            </w:pPr>
          </w:p>
        </w:tc>
      </w:tr>
      <w:tr w:rsidR="001142E9" w14:paraId="52A5EB8D" w14:textId="77777777">
        <w:tc>
          <w:tcPr>
            <w:tcW w:w="845" w:type="dxa"/>
            <w:tcBorders>
              <w:top w:val="single" w:sz="4" w:space="0" w:color="000000"/>
              <w:left w:val="single" w:sz="4" w:space="0" w:color="000000"/>
              <w:bottom w:val="single" w:sz="4" w:space="0" w:color="000000"/>
              <w:right w:val="single" w:sz="4" w:space="0" w:color="000000"/>
            </w:tcBorders>
          </w:tcPr>
          <w:p w14:paraId="52A5EB8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60</w:t>
            </w:r>
          </w:p>
        </w:tc>
        <w:tc>
          <w:tcPr>
            <w:tcW w:w="937" w:type="dxa"/>
            <w:tcBorders>
              <w:top w:val="single" w:sz="4" w:space="0" w:color="000000"/>
              <w:left w:val="single" w:sz="4" w:space="0" w:color="000000"/>
              <w:bottom w:val="single" w:sz="4" w:space="0" w:color="000000"/>
              <w:right w:val="single" w:sz="4" w:space="0" w:color="000000"/>
            </w:tcBorders>
          </w:tcPr>
          <w:p w14:paraId="52A5EB86"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35</w:t>
            </w:r>
          </w:p>
        </w:tc>
        <w:tc>
          <w:tcPr>
            <w:tcW w:w="4309" w:type="dxa"/>
            <w:tcBorders>
              <w:top w:val="single" w:sz="4" w:space="0" w:color="000000"/>
              <w:left w:val="single" w:sz="4" w:space="0" w:color="000000"/>
              <w:bottom w:val="single" w:sz="4" w:space="0" w:color="000000"/>
              <w:right w:val="single" w:sz="4" w:space="0" w:color="000000"/>
            </w:tcBorders>
          </w:tcPr>
          <w:p w14:paraId="52A5EB87"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McKernan (1996: 259-260) cautions that some critical theorists have ‘become infatuated by the utilisation and development of grand theory’ (Skinner, 1990) as a specific objective. Contextually, the approach advocated by Carr and Kemmis in attempting to distinguish critical reflection from other forms of reflection imposes a form of ‘academic imperialism’ which may stifle the potential for action research by separating theory-research from practice</w:t>
            </w:r>
          </w:p>
          <w:p w14:paraId="52A5EB88"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89"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McKernan (1996: 259-260) cautions that some critical theorists have “become obsessed with the use and development of grand theory as a principal goal‟ and the approach espoused by Carr and Kemmis to distinguish critical reflection from other forms of reflection imposes a form of “academic imperialism‟ which seeks to “hijack‟ the action research movement by “separating theory-research from practice‟.</w:t>
            </w:r>
          </w:p>
          <w:p w14:paraId="52A5EB8A"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8B"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Near-verbatim</w:t>
            </w:r>
          </w:p>
        </w:tc>
        <w:tc>
          <w:tcPr>
            <w:tcW w:w="1913" w:type="dxa"/>
            <w:tcBorders>
              <w:top w:val="single" w:sz="4" w:space="0" w:color="000000"/>
              <w:left w:val="single" w:sz="4" w:space="0" w:color="000000"/>
              <w:bottom w:val="single" w:sz="4" w:space="0" w:color="000000"/>
              <w:right w:val="single" w:sz="4" w:space="0" w:color="000000"/>
            </w:tcBorders>
          </w:tcPr>
          <w:p w14:paraId="52A5EB8C"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Note replacement of ‘hijack’ (used in quotes by Z-M) with ‘stifle the potential for’ followed by insertion of ‘potential for action’</w:t>
            </w:r>
          </w:p>
        </w:tc>
      </w:tr>
      <w:tr w:rsidR="001142E9" w14:paraId="52A5EB96" w14:textId="77777777">
        <w:tc>
          <w:tcPr>
            <w:tcW w:w="845" w:type="dxa"/>
            <w:tcBorders>
              <w:top w:val="single" w:sz="4" w:space="0" w:color="000000"/>
              <w:left w:val="single" w:sz="4" w:space="0" w:color="000000"/>
              <w:bottom w:val="single" w:sz="4" w:space="0" w:color="000000"/>
              <w:right w:val="single" w:sz="4" w:space="0" w:color="000000"/>
            </w:tcBorders>
          </w:tcPr>
          <w:p w14:paraId="52A5EB8E"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60</w:t>
            </w:r>
          </w:p>
        </w:tc>
        <w:tc>
          <w:tcPr>
            <w:tcW w:w="937" w:type="dxa"/>
            <w:tcBorders>
              <w:top w:val="single" w:sz="4" w:space="0" w:color="000000"/>
              <w:left w:val="single" w:sz="4" w:space="0" w:color="000000"/>
              <w:bottom w:val="single" w:sz="4" w:space="0" w:color="000000"/>
              <w:right w:val="single" w:sz="4" w:space="0" w:color="000000"/>
            </w:tcBorders>
          </w:tcPr>
          <w:p w14:paraId="52A5EB8F"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35</w:t>
            </w:r>
          </w:p>
        </w:tc>
        <w:tc>
          <w:tcPr>
            <w:tcW w:w="4309" w:type="dxa"/>
            <w:tcBorders>
              <w:top w:val="single" w:sz="4" w:space="0" w:color="000000"/>
              <w:left w:val="single" w:sz="4" w:space="0" w:color="000000"/>
              <w:bottom w:val="single" w:sz="4" w:space="0" w:color="000000"/>
              <w:right w:val="single" w:sz="4" w:space="0" w:color="000000"/>
            </w:tcBorders>
          </w:tcPr>
          <w:p w14:paraId="52A5EB90"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Barnett (1997) argues the predominant discourse concerning knowledge and the ill-defined concept of critical thinking, which has been a strong feature in past decades of Western universities, will not support the climate and trends within higher education and more specifically teacher training. Specifically, he posits fragmented and partial views of reflective practice, which reflect the notions of self-monitoring and reflexive connotations, are superseding of any inherent criticisms.</w:t>
            </w:r>
          </w:p>
          <w:p w14:paraId="52A5EB91"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92"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Barnett (1997) argues the predominant focus on discourse about knowledge and the ill-defined concept of critical thinking, which has been a strong feature in past decades of Western universities, will not support the climate and trends within higher education. He argues that a fragmented and partial view of reflective practice, one which carries self-monitoring and reflexive connotations, is superseding that of criticism‟.</w:t>
            </w:r>
          </w:p>
          <w:p w14:paraId="52A5EB93"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94"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Verbatim</w:t>
            </w:r>
          </w:p>
        </w:tc>
        <w:tc>
          <w:tcPr>
            <w:tcW w:w="1913" w:type="dxa"/>
            <w:tcBorders>
              <w:top w:val="single" w:sz="4" w:space="0" w:color="000000"/>
              <w:left w:val="single" w:sz="4" w:space="0" w:color="000000"/>
              <w:bottom w:val="single" w:sz="4" w:space="0" w:color="000000"/>
              <w:right w:val="single" w:sz="4" w:space="0" w:color="000000"/>
            </w:tcBorders>
          </w:tcPr>
          <w:p w14:paraId="52A5EB9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Note use of ‘past decades of Western universities’ in both theses; Paraphrases: ‘He argues’ becomes ‘he posits’</w:t>
            </w:r>
          </w:p>
        </w:tc>
      </w:tr>
      <w:tr w:rsidR="001142E9" w14:paraId="52A5EB9D" w14:textId="77777777">
        <w:tc>
          <w:tcPr>
            <w:tcW w:w="845" w:type="dxa"/>
            <w:tcBorders>
              <w:top w:val="single" w:sz="4" w:space="0" w:color="000000"/>
              <w:left w:val="single" w:sz="4" w:space="0" w:color="000000"/>
              <w:bottom w:val="single" w:sz="4" w:space="0" w:color="000000"/>
              <w:right w:val="single" w:sz="4" w:space="0" w:color="000000"/>
            </w:tcBorders>
          </w:tcPr>
          <w:p w14:paraId="52A5EB97" w14:textId="77777777" w:rsidR="001142E9" w:rsidRDefault="002B3BB7">
            <w:pPr>
              <w:widowControl w:val="0"/>
              <w:spacing w:after="0" w:line="240" w:lineRule="auto"/>
              <w:rPr>
                <w:rFonts w:ascii="Arial" w:hAnsi="Arial" w:cs="Arial"/>
                <w:sz w:val="22"/>
                <w:szCs w:val="22"/>
              </w:rPr>
            </w:pPr>
            <w:r>
              <w:rPr>
                <w:rFonts w:ascii="Arial" w:hAnsi="Arial" w:cs="Arial"/>
                <w:sz w:val="22"/>
                <w:szCs w:val="22"/>
              </w:rPr>
              <w:t>60-contd</w:t>
            </w:r>
          </w:p>
        </w:tc>
        <w:tc>
          <w:tcPr>
            <w:tcW w:w="937" w:type="dxa"/>
            <w:tcBorders>
              <w:top w:val="single" w:sz="4" w:space="0" w:color="000000"/>
              <w:left w:val="single" w:sz="4" w:space="0" w:color="000000"/>
              <w:bottom w:val="single" w:sz="4" w:space="0" w:color="000000"/>
              <w:right w:val="single" w:sz="4" w:space="0" w:color="000000"/>
            </w:tcBorders>
          </w:tcPr>
          <w:p w14:paraId="52A5EB98" w14:textId="77777777" w:rsidR="001142E9" w:rsidRDefault="002B3BB7">
            <w:pPr>
              <w:widowControl w:val="0"/>
              <w:spacing w:after="0" w:line="240" w:lineRule="auto"/>
              <w:rPr>
                <w:rFonts w:ascii="Arial" w:hAnsi="Arial" w:cs="Arial"/>
                <w:sz w:val="22"/>
                <w:szCs w:val="22"/>
              </w:rPr>
            </w:pPr>
            <w:r>
              <w:rPr>
                <w:rFonts w:ascii="Arial" w:hAnsi="Arial" w:cs="Arial"/>
                <w:sz w:val="22"/>
                <w:szCs w:val="22"/>
              </w:rPr>
              <w:t>35</w:t>
            </w:r>
          </w:p>
        </w:tc>
        <w:tc>
          <w:tcPr>
            <w:tcW w:w="4309" w:type="dxa"/>
            <w:tcBorders>
              <w:top w:val="single" w:sz="4" w:space="0" w:color="000000"/>
              <w:left w:val="single" w:sz="4" w:space="0" w:color="000000"/>
              <w:bottom w:val="single" w:sz="4" w:space="0" w:color="000000"/>
              <w:right w:val="single" w:sz="4" w:space="0" w:color="000000"/>
            </w:tcBorders>
          </w:tcPr>
          <w:p w14:paraId="52A5EB99"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He further contends that this could immerge as an ideology which utilises reflective practice, more specifically at just interpretive levels, rather than recognise the potential for emancipation, autonomy and empowerment among practitioners.</w:t>
            </w:r>
          </w:p>
        </w:tc>
        <w:tc>
          <w:tcPr>
            <w:tcW w:w="4251" w:type="dxa"/>
            <w:tcBorders>
              <w:top w:val="single" w:sz="4" w:space="0" w:color="000000"/>
              <w:left w:val="single" w:sz="4" w:space="0" w:color="000000"/>
              <w:bottom w:val="single" w:sz="4" w:space="0" w:color="000000"/>
              <w:right w:val="single" w:sz="4" w:space="0" w:color="000000"/>
            </w:tcBorders>
          </w:tcPr>
          <w:p w14:paraId="52A5EB9A"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He further suggests this could become an ideology that uses reflective practice, solely at interpretive levels rather than acknowledge its potential for emancipation and empowerment.</w:t>
            </w:r>
          </w:p>
        </w:tc>
        <w:tc>
          <w:tcPr>
            <w:tcW w:w="1702" w:type="dxa"/>
            <w:tcBorders>
              <w:top w:val="single" w:sz="4" w:space="0" w:color="000000"/>
              <w:left w:val="single" w:sz="4" w:space="0" w:color="000000"/>
              <w:bottom w:val="single" w:sz="4" w:space="0" w:color="000000"/>
              <w:right w:val="single" w:sz="4" w:space="0" w:color="000000"/>
            </w:tcBorders>
          </w:tcPr>
          <w:p w14:paraId="52A5EB9B" w14:textId="77777777" w:rsidR="001142E9" w:rsidRDefault="002B3BB7">
            <w:pPr>
              <w:widowControl w:val="0"/>
              <w:spacing w:after="0" w:line="240" w:lineRule="auto"/>
              <w:rPr>
                <w:rFonts w:ascii="Arial" w:hAnsi="Arial" w:cs="Arial"/>
                <w:sz w:val="22"/>
                <w:szCs w:val="22"/>
              </w:rPr>
            </w:pPr>
            <w:r>
              <w:rPr>
                <w:rFonts w:ascii="Arial" w:hAnsi="Arial" w:cs="Arial"/>
                <w:sz w:val="22"/>
                <w:szCs w:val="22"/>
              </w:rPr>
              <w:t>Near-verbatim</w:t>
            </w:r>
          </w:p>
        </w:tc>
        <w:tc>
          <w:tcPr>
            <w:tcW w:w="1913" w:type="dxa"/>
            <w:tcBorders>
              <w:top w:val="single" w:sz="4" w:space="0" w:color="000000"/>
              <w:left w:val="single" w:sz="4" w:space="0" w:color="000000"/>
              <w:bottom w:val="single" w:sz="4" w:space="0" w:color="000000"/>
              <w:right w:val="single" w:sz="4" w:space="0" w:color="000000"/>
            </w:tcBorders>
          </w:tcPr>
          <w:p w14:paraId="52A5EB9C" w14:textId="77777777" w:rsidR="001142E9" w:rsidRDefault="002B3BB7">
            <w:pPr>
              <w:widowControl w:val="0"/>
              <w:spacing w:after="0" w:line="240" w:lineRule="auto"/>
              <w:rPr>
                <w:rFonts w:ascii="Arial" w:hAnsi="Arial" w:cs="Arial"/>
                <w:sz w:val="22"/>
                <w:szCs w:val="22"/>
              </w:rPr>
            </w:pPr>
            <w:r>
              <w:rPr>
                <w:rFonts w:ascii="Arial" w:hAnsi="Arial" w:cs="Arial"/>
                <w:sz w:val="22"/>
                <w:szCs w:val="22"/>
              </w:rPr>
              <w:t>Addition of ‘among practitioners’</w:t>
            </w:r>
          </w:p>
        </w:tc>
      </w:tr>
      <w:tr w:rsidR="001142E9" w14:paraId="52A5EBA7" w14:textId="77777777">
        <w:tc>
          <w:tcPr>
            <w:tcW w:w="845" w:type="dxa"/>
            <w:tcBorders>
              <w:top w:val="single" w:sz="4" w:space="0" w:color="000000"/>
              <w:left w:val="single" w:sz="4" w:space="0" w:color="000000"/>
              <w:bottom w:val="single" w:sz="4" w:space="0" w:color="000000"/>
              <w:right w:val="single" w:sz="4" w:space="0" w:color="000000"/>
            </w:tcBorders>
          </w:tcPr>
          <w:p w14:paraId="52A5EB9E" w14:textId="77777777" w:rsidR="001142E9" w:rsidRDefault="002B3BB7">
            <w:pPr>
              <w:pStyle w:val="TableContents"/>
              <w:spacing w:after="0" w:line="240" w:lineRule="auto"/>
              <w:rPr>
                <w:rFonts w:ascii="Arial" w:hAnsi="Arial" w:cs="Arial"/>
                <w:b/>
                <w:bCs/>
                <w:sz w:val="22"/>
                <w:szCs w:val="22"/>
              </w:rPr>
            </w:pPr>
            <w:r>
              <w:rPr>
                <w:rFonts w:ascii="Arial" w:hAnsi="Arial" w:cs="Arial"/>
                <w:color w:val="000000"/>
                <w:sz w:val="22"/>
                <w:szCs w:val="22"/>
              </w:rPr>
              <w:t>60-61</w:t>
            </w:r>
          </w:p>
        </w:tc>
        <w:tc>
          <w:tcPr>
            <w:tcW w:w="937" w:type="dxa"/>
            <w:tcBorders>
              <w:top w:val="single" w:sz="4" w:space="0" w:color="000000"/>
              <w:left w:val="single" w:sz="4" w:space="0" w:color="000000"/>
              <w:bottom w:val="single" w:sz="4" w:space="0" w:color="000000"/>
              <w:right w:val="single" w:sz="4" w:space="0" w:color="000000"/>
            </w:tcBorders>
          </w:tcPr>
          <w:p w14:paraId="52A5EB9F" w14:textId="77777777" w:rsidR="001142E9" w:rsidRDefault="002B3BB7">
            <w:pPr>
              <w:pStyle w:val="TableContents"/>
              <w:spacing w:after="0" w:line="240" w:lineRule="auto"/>
              <w:rPr>
                <w:rFonts w:ascii="Arial" w:hAnsi="Arial" w:cs="Arial"/>
                <w:sz w:val="22"/>
                <w:szCs w:val="22"/>
              </w:rPr>
            </w:pPr>
            <w:r>
              <w:rPr>
                <w:rFonts w:ascii="Arial" w:hAnsi="Arial" w:cs="Arial"/>
                <w:color w:val="000000"/>
                <w:sz w:val="22"/>
                <w:szCs w:val="22"/>
              </w:rPr>
              <w:t>35</w:t>
            </w:r>
          </w:p>
        </w:tc>
        <w:tc>
          <w:tcPr>
            <w:tcW w:w="4309" w:type="dxa"/>
            <w:tcBorders>
              <w:top w:val="single" w:sz="4" w:space="0" w:color="000000"/>
              <w:left w:val="single" w:sz="4" w:space="0" w:color="000000"/>
              <w:bottom w:val="single" w:sz="4" w:space="0" w:color="000000"/>
              <w:right w:val="single" w:sz="4" w:space="0" w:color="000000"/>
            </w:tcBorders>
          </w:tcPr>
          <w:p w14:paraId="52A5EBA0"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Barnett applies, interprets and further develops ideas proposed by Habermas regarding emancipatory interests and those associated with critical theory, within the confines of higher education. Essentially, he proposes a system, which embeds both considered action and critique, within a context that focuses on the student teacher progressing and developing as a practitioner (Barnett, 1997). </w:t>
            </w:r>
          </w:p>
          <w:p w14:paraId="52A5EBA1"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A2"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Barnett applies, interprets and further develops ideas proposed by Habermas of the emancipatory interests and those associated with critical theory to the context of higher education. </w:t>
            </w:r>
          </w:p>
          <w:p w14:paraId="52A5EBA3"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       He proposes a system, which includes both action and critique, within a frame of reference that focuses on the student teacher as a developing person. </w:t>
            </w:r>
          </w:p>
          <w:p w14:paraId="52A5EBA4"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A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Verbatim text copying, with paraphrases </w:t>
            </w:r>
          </w:p>
        </w:tc>
        <w:tc>
          <w:tcPr>
            <w:tcW w:w="1913" w:type="dxa"/>
            <w:tcBorders>
              <w:top w:val="single" w:sz="4" w:space="0" w:color="000000"/>
              <w:left w:val="single" w:sz="4" w:space="0" w:color="000000"/>
              <w:bottom w:val="single" w:sz="4" w:space="0" w:color="000000"/>
              <w:right w:val="single" w:sz="4" w:space="0" w:color="000000"/>
            </w:tcBorders>
          </w:tcPr>
          <w:p w14:paraId="52A5EBA6" w14:textId="77777777" w:rsidR="001142E9" w:rsidRDefault="002B3BB7">
            <w:pPr>
              <w:pStyle w:val="TableContents"/>
              <w:spacing w:after="0" w:line="240" w:lineRule="auto"/>
              <w:rPr>
                <w:rFonts w:ascii="Arial" w:hAnsi="Arial" w:cs="Arial"/>
                <w:sz w:val="22"/>
                <w:szCs w:val="22"/>
              </w:rPr>
            </w:pPr>
            <w:r>
              <w:rPr>
                <w:rFonts w:ascii="Arial" w:hAnsi="Arial" w:cs="Arial"/>
                <w:color w:val="000000"/>
                <w:sz w:val="22"/>
                <w:szCs w:val="22"/>
              </w:rPr>
              <w:t>Paraphrases eg ‘confines’ replacing ‘context’. --</w:t>
            </w:r>
          </w:p>
        </w:tc>
      </w:tr>
      <w:tr w:rsidR="001142E9" w14:paraId="52A5EBB0" w14:textId="77777777">
        <w:tc>
          <w:tcPr>
            <w:tcW w:w="845" w:type="dxa"/>
            <w:tcBorders>
              <w:top w:val="single" w:sz="4" w:space="0" w:color="000000"/>
              <w:left w:val="single" w:sz="4" w:space="0" w:color="000000"/>
              <w:bottom w:val="single" w:sz="4" w:space="0" w:color="000000"/>
              <w:right w:val="single" w:sz="4" w:space="0" w:color="000000"/>
            </w:tcBorders>
          </w:tcPr>
          <w:p w14:paraId="52A5EBA8" w14:textId="77777777" w:rsidR="001142E9" w:rsidRDefault="002B3BB7">
            <w:pPr>
              <w:pStyle w:val="TableContents"/>
              <w:spacing w:after="0" w:line="240" w:lineRule="auto"/>
              <w:rPr>
                <w:rFonts w:ascii="Arial" w:hAnsi="Arial" w:cs="Arial"/>
                <w:sz w:val="22"/>
                <w:szCs w:val="22"/>
              </w:rPr>
            </w:pPr>
            <w:r>
              <w:rPr>
                <w:rFonts w:ascii="Arial" w:hAnsi="Arial" w:cs="Arial"/>
                <w:sz w:val="22"/>
                <w:szCs w:val="22"/>
              </w:rPr>
              <w:t>60-61</w:t>
            </w:r>
          </w:p>
        </w:tc>
        <w:tc>
          <w:tcPr>
            <w:tcW w:w="937" w:type="dxa"/>
            <w:tcBorders>
              <w:top w:val="single" w:sz="4" w:space="0" w:color="000000"/>
              <w:left w:val="single" w:sz="4" w:space="0" w:color="000000"/>
              <w:bottom w:val="single" w:sz="4" w:space="0" w:color="000000"/>
              <w:right w:val="single" w:sz="4" w:space="0" w:color="000000"/>
            </w:tcBorders>
          </w:tcPr>
          <w:p w14:paraId="52A5EBA9" w14:textId="77777777" w:rsidR="001142E9" w:rsidRDefault="002B3BB7">
            <w:pPr>
              <w:pStyle w:val="TableContents"/>
              <w:spacing w:after="0" w:line="240" w:lineRule="auto"/>
              <w:rPr>
                <w:rFonts w:ascii="Arial" w:hAnsi="Arial" w:cs="Arial"/>
                <w:sz w:val="22"/>
                <w:szCs w:val="22"/>
              </w:rPr>
            </w:pPr>
            <w:r>
              <w:rPr>
                <w:rFonts w:ascii="Arial" w:hAnsi="Arial" w:cs="Arial"/>
                <w:sz w:val="22"/>
                <w:szCs w:val="22"/>
              </w:rPr>
              <w:t>35</w:t>
            </w:r>
          </w:p>
        </w:tc>
        <w:tc>
          <w:tcPr>
            <w:tcW w:w="4309" w:type="dxa"/>
            <w:tcBorders>
              <w:top w:val="single" w:sz="4" w:space="0" w:color="000000"/>
              <w:left w:val="single" w:sz="4" w:space="0" w:color="000000"/>
              <w:bottom w:val="single" w:sz="4" w:space="0" w:color="000000"/>
              <w:right w:val="single" w:sz="4" w:space="0" w:color="000000"/>
            </w:tcBorders>
          </w:tcPr>
          <w:p w14:paraId="52A5EBAA"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He identifies action, self-reflection and understanding, as three key factors that higher education providers need to focus on, with considerations posited towards enabling student teachers in attempting to make them capable of both critical self-reflection and critical action. </w:t>
            </w:r>
          </w:p>
          <w:p w14:paraId="52A5EBAB"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AC"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He identifies action, self-reflection and understanding, as three key domains that higher education needs to focus on and considers that empowered student teachers to be capable of both critical self-reflection and critical action. </w:t>
            </w:r>
          </w:p>
          <w:p w14:paraId="52A5EBAD"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AE"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Near-verbatim, with paraphrase</w:t>
            </w:r>
          </w:p>
        </w:tc>
        <w:tc>
          <w:tcPr>
            <w:tcW w:w="1913" w:type="dxa"/>
            <w:tcBorders>
              <w:top w:val="single" w:sz="4" w:space="0" w:color="000000"/>
              <w:left w:val="single" w:sz="4" w:space="0" w:color="000000"/>
              <w:bottom w:val="single" w:sz="4" w:space="0" w:color="000000"/>
              <w:right w:val="single" w:sz="4" w:space="0" w:color="000000"/>
            </w:tcBorders>
          </w:tcPr>
          <w:p w14:paraId="52A5EBAF" w14:textId="77777777" w:rsidR="001142E9" w:rsidRDefault="002B3BB7">
            <w:pPr>
              <w:pStyle w:val="TableContents"/>
              <w:spacing w:after="0" w:line="240" w:lineRule="auto"/>
              <w:rPr>
                <w:rFonts w:ascii="Arial" w:hAnsi="Arial" w:cs="Arial"/>
                <w:sz w:val="22"/>
                <w:szCs w:val="22"/>
              </w:rPr>
            </w:pPr>
            <w:r>
              <w:rPr>
                <w:rFonts w:ascii="Arial" w:hAnsi="Arial" w:cs="Arial"/>
                <w:sz w:val="22"/>
                <w:szCs w:val="22"/>
              </w:rPr>
              <w:t>Paraphrases: ‘three key factors’ in Z-M becomes ‘three key factors’; considers’ becomes ‘with considerations’</w:t>
            </w:r>
          </w:p>
        </w:tc>
      </w:tr>
      <w:tr w:rsidR="001142E9" w14:paraId="52A5EBB9" w14:textId="77777777">
        <w:tc>
          <w:tcPr>
            <w:tcW w:w="845" w:type="dxa"/>
            <w:tcBorders>
              <w:top w:val="single" w:sz="4" w:space="0" w:color="000000"/>
              <w:left w:val="single" w:sz="4" w:space="0" w:color="000000"/>
              <w:bottom w:val="single" w:sz="4" w:space="0" w:color="000000"/>
              <w:right w:val="single" w:sz="4" w:space="0" w:color="000000"/>
            </w:tcBorders>
          </w:tcPr>
          <w:p w14:paraId="52A5EBB1" w14:textId="77777777" w:rsidR="001142E9" w:rsidRDefault="002B3BB7">
            <w:pPr>
              <w:pStyle w:val="TableContents"/>
              <w:spacing w:after="0" w:line="240" w:lineRule="auto"/>
              <w:rPr>
                <w:rFonts w:ascii="Arial" w:hAnsi="Arial" w:cs="Arial"/>
                <w:sz w:val="22"/>
                <w:szCs w:val="22"/>
              </w:rPr>
            </w:pPr>
            <w:r>
              <w:rPr>
                <w:rFonts w:ascii="Arial" w:hAnsi="Arial" w:cs="Arial"/>
                <w:sz w:val="22"/>
                <w:szCs w:val="22"/>
              </w:rPr>
              <w:t>61</w:t>
            </w:r>
          </w:p>
        </w:tc>
        <w:tc>
          <w:tcPr>
            <w:tcW w:w="937" w:type="dxa"/>
            <w:tcBorders>
              <w:top w:val="single" w:sz="4" w:space="0" w:color="000000"/>
              <w:left w:val="single" w:sz="4" w:space="0" w:color="000000"/>
              <w:bottom w:val="single" w:sz="4" w:space="0" w:color="000000"/>
              <w:right w:val="single" w:sz="4" w:space="0" w:color="000000"/>
            </w:tcBorders>
          </w:tcPr>
          <w:p w14:paraId="52A5EBB2" w14:textId="77777777" w:rsidR="001142E9" w:rsidRDefault="002B3BB7">
            <w:pPr>
              <w:pStyle w:val="TableContents"/>
              <w:spacing w:after="0" w:line="240" w:lineRule="auto"/>
              <w:rPr>
                <w:rFonts w:ascii="Arial" w:hAnsi="Arial" w:cs="Arial"/>
                <w:sz w:val="22"/>
                <w:szCs w:val="22"/>
              </w:rPr>
            </w:pPr>
            <w:r>
              <w:rPr>
                <w:rFonts w:ascii="Arial" w:hAnsi="Arial" w:cs="Arial"/>
                <w:sz w:val="22"/>
                <w:szCs w:val="22"/>
              </w:rPr>
              <w:t>35</w:t>
            </w:r>
          </w:p>
        </w:tc>
        <w:tc>
          <w:tcPr>
            <w:tcW w:w="4309" w:type="dxa"/>
            <w:tcBorders>
              <w:top w:val="single" w:sz="4" w:space="0" w:color="000000"/>
              <w:left w:val="single" w:sz="4" w:space="0" w:color="000000"/>
              <w:bottom w:val="single" w:sz="4" w:space="0" w:color="000000"/>
              <w:right w:val="single" w:sz="4" w:space="0" w:color="000000"/>
            </w:tcBorders>
          </w:tcPr>
          <w:p w14:paraId="52A5EBB3"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He aligns this disposition with the potential to measure the ‘real world’ in a variation of manifestations, in which such aspects occur. (p.61) Important attributes of ‘critically’ empowering and enabling student teachers are pivotal in attempting to provide trainees with clarity of thought and emotional competence to justify and rationalise their alternative ways of understanding teaching and learning within the ‘real world’ (Barnett, 1997; McNiff et al., 2003). </w:t>
            </w:r>
          </w:p>
          <w:p w14:paraId="52A5EBB4"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B5"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He aligns this disposition with the capacity to size up the “real world‟ in all its manifestations yet not to kowtow to it. Important attributes of “critically‟ empowered student teachers are that they have the clarity of thought and emotional strength to justify what they value and demonstrate, in their actions, that there are alternative ways of understanding and teaching in the “real world‟. </w:t>
            </w:r>
          </w:p>
          <w:p w14:paraId="52A5EBB6"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B7"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Near-verbatim, with minor substitutions (emotional competence for ‘emotional strength’, etc)</w:t>
            </w:r>
          </w:p>
        </w:tc>
        <w:tc>
          <w:tcPr>
            <w:tcW w:w="1913" w:type="dxa"/>
            <w:tcBorders>
              <w:top w:val="single" w:sz="4" w:space="0" w:color="000000"/>
              <w:left w:val="single" w:sz="4" w:space="0" w:color="000000"/>
              <w:bottom w:val="single" w:sz="4" w:space="0" w:color="000000"/>
              <w:right w:val="single" w:sz="4" w:space="0" w:color="000000"/>
            </w:tcBorders>
          </w:tcPr>
          <w:p w14:paraId="52A5EBB8" w14:textId="77777777" w:rsidR="001142E9" w:rsidRDefault="002B3BB7">
            <w:pPr>
              <w:pStyle w:val="TableContents"/>
              <w:spacing w:after="0" w:line="240" w:lineRule="auto"/>
              <w:rPr>
                <w:rFonts w:ascii="Arial" w:hAnsi="Arial" w:cs="Arial"/>
                <w:sz w:val="22"/>
                <w:szCs w:val="22"/>
              </w:rPr>
            </w:pPr>
            <w:r>
              <w:rPr>
                <w:rFonts w:ascii="Arial" w:hAnsi="Arial" w:cs="Arial"/>
                <w:sz w:val="22"/>
                <w:szCs w:val="22"/>
              </w:rPr>
              <w:t>Note use of quotes for ‘real world’, and ‘critically’ in both Arday and Z-M, also use of ‘real world’ in both Arday and Z-M</w:t>
            </w:r>
          </w:p>
        </w:tc>
      </w:tr>
      <w:tr w:rsidR="001142E9" w14:paraId="52A5EBC1" w14:textId="77777777">
        <w:tc>
          <w:tcPr>
            <w:tcW w:w="845" w:type="dxa"/>
            <w:tcBorders>
              <w:top w:val="single" w:sz="4" w:space="0" w:color="000000"/>
              <w:left w:val="single" w:sz="4" w:space="0" w:color="000000"/>
              <w:bottom w:val="single" w:sz="4" w:space="0" w:color="000000"/>
              <w:right w:val="single" w:sz="4" w:space="0" w:color="000000"/>
            </w:tcBorders>
          </w:tcPr>
          <w:p w14:paraId="52A5EBBA" w14:textId="77777777" w:rsidR="001142E9" w:rsidRDefault="002B3BB7">
            <w:pPr>
              <w:pStyle w:val="TableContents"/>
              <w:spacing w:after="0" w:line="240" w:lineRule="auto"/>
              <w:rPr>
                <w:rFonts w:ascii="Arial" w:hAnsi="Arial" w:cs="Arial"/>
                <w:sz w:val="22"/>
                <w:szCs w:val="22"/>
              </w:rPr>
            </w:pPr>
            <w:r>
              <w:rPr>
                <w:rFonts w:ascii="Arial" w:hAnsi="Arial" w:cs="Arial"/>
                <w:sz w:val="22"/>
                <w:szCs w:val="22"/>
              </w:rPr>
              <w:t>61</w:t>
            </w:r>
          </w:p>
        </w:tc>
        <w:tc>
          <w:tcPr>
            <w:tcW w:w="937" w:type="dxa"/>
            <w:tcBorders>
              <w:top w:val="single" w:sz="4" w:space="0" w:color="000000"/>
              <w:left w:val="single" w:sz="4" w:space="0" w:color="000000"/>
              <w:bottom w:val="single" w:sz="4" w:space="0" w:color="000000"/>
              <w:right w:val="single" w:sz="4" w:space="0" w:color="000000"/>
            </w:tcBorders>
          </w:tcPr>
          <w:p w14:paraId="52A5EBBB" w14:textId="77777777" w:rsidR="001142E9" w:rsidRDefault="002B3BB7">
            <w:pPr>
              <w:pStyle w:val="TableContents"/>
              <w:spacing w:after="0" w:line="240" w:lineRule="auto"/>
              <w:rPr>
                <w:rFonts w:ascii="Arial" w:hAnsi="Arial" w:cs="Arial"/>
                <w:sz w:val="22"/>
                <w:szCs w:val="22"/>
              </w:rPr>
            </w:pPr>
            <w:r>
              <w:rPr>
                <w:rFonts w:ascii="Arial" w:hAnsi="Arial" w:cs="Arial"/>
                <w:sz w:val="22"/>
                <w:szCs w:val="22"/>
              </w:rPr>
              <w:t>35</w:t>
            </w:r>
          </w:p>
        </w:tc>
        <w:tc>
          <w:tcPr>
            <w:tcW w:w="4309" w:type="dxa"/>
            <w:tcBorders>
              <w:top w:val="single" w:sz="4" w:space="0" w:color="000000"/>
              <w:left w:val="single" w:sz="4" w:space="0" w:color="000000"/>
              <w:bottom w:val="single" w:sz="4" w:space="0" w:color="000000"/>
              <w:right w:val="single" w:sz="4" w:space="0" w:color="000000"/>
            </w:tcBorders>
          </w:tcPr>
          <w:p w14:paraId="52A5EBBC"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Barnett concludes that critically reflective practitioners view their professional capacities with regards to what they can do to improve the quality of pupils’ educational experiences, as opposed to prescriptive and structured ‘safe’ practices that may not stimulate productive learning among learners. Such practices enable student teachers to become risk-takers who strive to improve their pedagogical practices (Clandinin and Connelly, 1995) in attempting to explore innovative methods of teaching.</w:t>
            </w:r>
          </w:p>
        </w:tc>
        <w:tc>
          <w:tcPr>
            <w:tcW w:w="4251" w:type="dxa"/>
            <w:tcBorders>
              <w:top w:val="single" w:sz="4" w:space="0" w:color="000000"/>
              <w:left w:val="single" w:sz="4" w:space="0" w:color="000000"/>
              <w:bottom w:val="single" w:sz="4" w:space="0" w:color="000000"/>
              <w:right w:val="single" w:sz="4" w:space="0" w:color="000000"/>
            </w:tcBorders>
          </w:tcPr>
          <w:p w14:paraId="52A5EBBD"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Barnett concludes that critically reflective practitioners view their professional lives in terms of what they can and want to do in order to improve the quality of pupils‟ educational experiences as opposed to what they are permitted to do. They are risk-takers who strive continuously through their „desire to think again‟ (Clandinin and Connelly, 1995) to explore new ways of doing things. </w:t>
            </w:r>
          </w:p>
          <w:p w14:paraId="52A5EBBE"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BF"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Verbatim section, with insertion of section on ‘risk takers’, followed by identical reference to Clandinin and Connelly, 1995</w:t>
            </w:r>
          </w:p>
        </w:tc>
        <w:tc>
          <w:tcPr>
            <w:tcW w:w="1913" w:type="dxa"/>
            <w:tcBorders>
              <w:top w:val="single" w:sz="4" w:space="0" w:color="000000"/>
              <w:left w:val="single" w:sz="4" w:space="0" w:color="000000"/>
              <w:bottom w:val="single" w:sz="4" w:space="0" w:color="000000"/>
              <w:right w:val="single" w:sz="4" w:space="0" w:color="000000"/>
            </w:tcBorders>
          </w:tcPr>
          <w:p w14:paraId="52A5EBC0" w14:textId="77777777" w:rsidR="001142E9" w:rsidRDefault="001142E9">
            <w:pPr>
              <w:pStyle w:val="TableContents"/>
              <w:spacing w:after="0" w:line="240" w:lineRule="auto"/>
              <w:rPr>
                <w:rFonts w:ascii="Arial" w:hAnsi="Arial" w:cs="Arial"/>
                <w:sz w:val="22"/>
                <w:szCs w:val="22"/>
              </w:rPr>
            </w:pPr>
          </w:p>
        </w:tc>
      </w:tr>
      <w:tr w:rsidR="001142E9" w14:paraId="52A5EBCB" w14:textId="77777777">
        <w:tc>
          <w:tcPr>
            <w:tcW w:w="845" w:type="dxa"/>
            <w:tcBorders>
              <w:top w:val="single" w:sz="4" w:space="0" w:color="000000"/>
              <w:left w:val="single" w:sz="4" w:space="0" w:color="000000"/>
              <w:bottom w:val="single" w:sz="4" w:space="0" w:color="000000"/>
              <w:right w:val="single" w:sz="4" w:space="0" w:color="000000"/>
            </w:tcBorders>
          </w:tcPr>
          <w:p w14:paraId="52A5EBC2" w14:textId="77777777" w:rsidR="001142E9" w:rsidRDefault="002B3BB7">
            <w:pPr>
              <w:pStyle w:val="TableContents"/>
              <w:spacing w:after="0" w:line="240" w:lineRule="auto"/>
              <w:rPr>
                <w:rFonts w:ascii="Arial" w:hAnsi="Arial" w:cs="Arial"/>
                <w:sz w:val="22"/>
                <w:szCs w:val="22"/>
              </w:rPr>
            </w:pPr>
            <w:r>
              <w:rPr>
                <w:rFonts w:ascii="Arial" w:hAnsi="Arial" w:cs="Arial"/>
                <w:sz w:val="22"/>
                <w:szCs w:val="22"/>
              </w:rPr>
              <w:t>61</w:t>
            </w:r>
          </w:p>
        </w:tc>
        <w:tc>
          <w:tcPr>
            <w:tcW w:w="937" w:type="dxa"/>
            <w:tcBorders>
              <w:top w:val="single" w:sz="4" w:space="0" w:color="000000"/>
              <w:left w:val="single" w:sz="4" w:space="0" w:color="000000"/>
              <w:bottom w:val="single" w:sz="4" w:space="0" w:color="000000"/>
              <w:right w:val="single" w:sz="4" w:space="0" w:color="000000"/>
            </w:tcBorders>
          </w:tcPr>
          <w:p w14:paraId="52A5EBC3" w14:textId="77777777" w:rsidR="001142E9" w:rsidRDefault="002B3BB7">
            <w:pPr>
              <w:pStyle w:val="TableContents"/>
              <w:spacing w:after="0" w:line="240" w:lineRule="auto"/>
              <w:rPr>
                <w:rFonts w:ascii="Arial" w:hAnsi="Arial" w:cs="Arial"/>
                <w:sz w:val="22"/>
                <w:szCs w:val="22"/>
              </w:rPr>
            </w:pPr>
            <w:r>
              <w:rPr>
                <w:rFonts w:ascii="Arial" w:hAnsi="Arial" w:cs="Arial"/>
                <w:sz w:val="22"/>
                <w:szCs w:val="22"/>
              </w:rPr>
              <w:t>35</w:t>
            </w:r>
          </w:p>
        </w:tc>
        <w:tc>
          <w:tcPr>
            <w:tcW w:w="4309" w:type="dxa"/>
            <w:tcBorders>
              <w:top w:val="single" w:sz="4" w:space="0" w:color="000000"/>
              <w:left w:val="single" w:sz="4" w:space="0" w:color="000000"/>
              <w:bottom w:val="single" w:sz="4" w:space="0" w:color="000000"/>
              <w:right w:val="single" w:sz="4" w:space="0" w:color="000000"/>
            </w:tcBorders>
          </w:tcPr>
          <w:p w14:paraId="52A5EBC4"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Underpinning the goal toward becoming a critically reflective practitioner is the notion of liberating thinking. Such thinking is synonymous with Zeichner and Liston (1987: 23) who describe the liberated individual as ‘one free from the unwarranted control of unjustified beliefs, unsupportable attitudes and the paucity of abilities which can prevent that individual from maintaining complete autonomy of their own professional existence’.</w:t>
            </w:r>
          </w:p>
          <w:p w14:paraId="52A5EBC5"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C6" w14:textId="77777777" w:rsidR="001142E9" w:rsidRDefault="001142E9">
            <w:pPr>
              <w:widowControl w:val="0"/>
              <w:spacing w:after="0" w:line="240" w:lineRule="auto"/>
              <w:rPr>
                <w:rFonts w:ascii="Arial" w:hAnsi="Arial" w:cs="Arial"/>
                <w:color w:val="000000"/>
                <w:sz w:val="22"/>
                <w:szCs w:val="22"/>
              </w:rPr>
            </w:pPr>
          </w:p>
          <w:p w14:paraId="52A5EBC7"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 xml:space="preserve">Underpinning the goal toward becoming a critically reflective practitioner is the metaphor liberation. Zeichner and Liston (1987: 23) describe the liberated person as one „free from the unwarranted control of unjustified beliefs, unsupportable attitudes and the paucity of abilities which can prevent that person from completely taking charge of his or her own life‟. </w:t>
            </w:r>
          </w:p>
          <w:p w14:paraId="52A5EBC8" w14:textId="77777777" w:rsidR="001142E9" w:rsidRDefault="001142E9">
            <w:pPr>
              <w:widowControl w:val="0"/>
              <w:spacing w:after="0" w:line="240" w:lineRule="auto"/>
              <w:rPr>
                <w:rFonts w:ascii="Arial" w:hAnsi="Arial" w:cs="Arial"/>
                <w:color w:val="000000"/>
                <w:sz w:val="22"/>
                <w:szCs w:val="22"/>
              </w:rPr>
            </w:pPr>
          </w:p>
        </w:tc>
        <w:tc>
          <w:tcPr>
            <w:tcW w:w="1702" w:type="dxa"/>
            <w:tcBorders>
              <w:top w:val="single" w:sz="4" w:space="0" w:color="000000"/>
              <w:left w:val="single" w:sz="4" w:space="0" w:color="000000"/>
              <w:bottom w:val="single" w:sz="4" w:space="0" w:color="000000"/>
              <w:right w:val="single" w:sz="4" w:space="0" w:color="000000"/>
            </w:tcBorders>
          </w:tcPr>
          <w:p w14:paraId="52A5EBC9"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Near-verbatim, including identical reference to Z-M, followed by minor paraphrase in final few words</w:t>
            </w:r>
          </w:p>
        </w:tc>
        <w:tc>
          <w:tcPr>
            <w:tcW w:w="1913" w:type="dxa"/>
            <w:tcBorders>
              <w:top w:val="single" w:sz="4" w:space="0" w:color="000000"/>
              <w:left w:val="single" w:sz="4" w:space="0" w:color="000000"/>
              <w:bottom w:val="single" w:sz="4" w:space="0" w:color="000000"/>
              <w:right w:val="single" w:sz="4" w:space="0" w:color="000000"/>
            </w:tcBorders>
          </w:tcPr>
          <w:p w14:paraId="52A5EBCA" w14:textId="77777777" w:rsidR="001142E9" w:rsidRDefault="002B3BB7">
            <w:pPr>
              <w:pStyle w:val="TableContents"/>
              <w:spacing w:after="0" w:line="240" w:lineRule="auto"/>
              <w:rPr>
                <w:rFonts w:ascii="Arial" w:hAnsi="Arial" w:cs="Arial"/>
                <w:sz w:val="22"/>
                <w:szCs w:val="22"/>
              </w:rPr>
            </w:pPr>
            <w:r>
              <w:rPr>
                <w:rFonts w:ascii="Arial" w:hAnsi="Arial" w:cs="Arial"/>
                <w:sz w:val="22"/>
                <w:szCs w:val="22"/>
              </w:rPr>
              <w:t>Paraphrases include’ ‘metaphor liberation’ becomes  ‘liberating thinking’</w:t>
            </w:r>
          </w:p>
        </w:tc>
      </w:tr>
      <w:tr w:rsidR="001142E9" w14:paraId="52A5EBD4" w14:textId="77777777">
        <w:tc>
          <w:tcPr>
            <w:tcW w:w="845" w:type="dxa"/>
            <w:tcBorders>
              <w:top w:val="single" w:sz="4" w:space="0" w:color="000000"/>
              <w:left w:val="single" w:sz="4" w:space="0" w:color="000000"/>
              <w:bottom w:val="single" w:sz="4" w:space="0" w:color="000000"/>
              <w:right w:val="single" w:sz="4" w:space="0" w:color="000000"/>
            </w:tcBorders>
          </w:tcPr>
          <w:p w14:paraId="52A5EBCC" w14:textId="77777777" w:rsidR="001142E9" w:rsidRDefault="002B3BB7">
            <w:pPr>
              <w:widowControl w:val="0"/>
              <w:spacing w:after="0" w:line="240" w:lineRule="auto"/>
              <w:rPr>
                <w:rFonts w:ascii="Arial" w:hAnsi="Arial" w:cs="Arial"/>
                <w:sz w:val="22"/>
                <w:szCs w:val="22"/>
              </w:rPr>
            </w:pPr>
            <w:r>
              <w:rPr>
                <w:rFonts w:ascii="Arial" w:hAnsi="Arial" w:cs="Arial"/>
                <w:sz w:val="22"/>
                <w:szCs w:val="22"/>
              </w:rPr>
              <w:t>61</w:t>
            </w:r>
          </w:p>
        </w:tc>
        <w:tc>
          <w:tcPr>
            <w:tcW w:w="937" w:type="dxa"/>
            <w:tcBorders>
              <w:top w:val="single" w:sz="4" w:space="0" w:color="000000"/>
              <w:left w:val="single" w:sz="4" w:space="0" w:color="000000"/>
              <w:bottom w:val="single" w:sz="4" w:space="0" w:color="000000"/>
              <w:right w:val="single" w:sz="4" w:space="0" w:color="000000"/>
            </w:tcBorders>
          </w:tcPr>
          <w:p w14:paraId="52A5EBCD" w14:textId="77777777" w:rsidR="001142E9" w:rsidRDefault="002B3BB7">
            <w:pPr>
              <w:widowControl w:val="0"/>
              <w:spacing w:after="0" w:line="240" w:lineRule="auto"/>
              <w:rPr>
                <w:rFonts w:ascii="Arial" w:hAnsi="Arial" w:cs="Arial"/>
                <w:sz w:val="22"/>
                <w:szCs w:val="22"/>
              </w:rPr>
            </w:pPr>
            <w:r>
              <w:rPr>
                <w:rFonts w:ascii="Arial" w:hAnsi="Arial" w:cs="Arial"/>
                <w:sz w:val="22"/>
                <w:szCs w:val="22"/>
              </w:rPr>
              <w:t>35</w:t>
            </w:r>
          </w:p>
        </w:tc>
        <w:tc>
          <w:tcPr>
            <w:tcW w:w="4309" w:type="dxa"/>
            <w:tcBorders>
              <w:top w:val="single" w:sz="4" w:space="0" w:color="000000"/>
              <w:left w:val="single" w:sz="4" w:space="0" w:color="000000"/>
              <w:bottom w:val="single" w:sz="4" w:space="0" w:color="000000"/>
              <w:right w:val="single" w:sz="4" w:space="0" w:color="000000"/>
            </w:tcBorders>
          </w:tcPr>
          <w:p w14:paraId="52A5EBCE" w14:textId="77777777" w:rsidR="001142E9" w:rsidRDefault="002B3BB7">
            <w:pPr>
              <w:widowControl w:val="0"/>
              <w:spacing w:after="0" w:line="240" w:lineRule="auto"/>
              <w:rPr>
                <w:rFonts w:ascii="Arial" w:hAnsi="Arial" w:cs="Arial"/>
                <w:color w:val="000000"/>
                <w:sz w:val="22"/>
                <w:szCs w:val="22"/>
              </w:rPr>
            </w:pPr>
            <w:r>
              <w:rPr>
                <w:rFonts w:ascii="Arial" w:hAnsi="Arial" w:cs="Arial"/>
                <w:color w:val="000000"/>
                <w:sz w:val="22"/>
                <w:szCs w:val="22"/>
              </w:rPr>
              <w:t>From this premise, it could be argued that reflective conversations, which value student teachers’ lived experiences, authentic concerns, beliefs and practical theories have potential to empower and enlighten aspects of professional dialogue should such endeavour be nurtured and encouraged (Kemmis, 1985; Zwozdiak-Myers, 2009).</w:t>
            </w:r>
          </w:p>
          <w:p w14:paraId="52A5EBCF" w14:textId="77777777" w:rsidR="001142E9" w:rsidRDefault="001142E9">
            <w:pPr>
              <w:widowControl w:val="0"/>
              <w:spacing w:after="0" w:line="240" w:lineRule="auto"/>
              <w:rPr>
                <w:rFonts w:ascii="Arial" w:hAnsi="Arial" w:cs="Arial"/>
                <w:color w:val="000000"/>
                <w:sz w:val="22"/>
                <w:szCs w:val="22"/>
              </w:rPr>
            </w:pPr>
          </w:p>
        </w:tc>
        <w:tc>
          <w:tcPr>
            <w:tcW w:w="4251" w:type="dxa"/>
            <w:tcBorders>
              <w:top w:val="single" w:sz="4" w:space="0" w:color="000000"/>
              <w:left w:val="single" w:sz="4" w:space="0" w:color="000000"/>
              <w:bottom w:val="single" w:sz="4" w:space="0" w:color="000000"/>
              <w:right w:val="single" w:sz="4" w:space="0" w:color="000000"/>
            </w:tcBorders>
          </w:tcPr>
          <w:p w14:paraId="52A5EBD0" w14:textId="77777777" w:rsidR="001142E9" w:rsidRDefault="002B3BB7">
            <w:pPr>
              <w:widowControl w:val="0"/>
              <w:spacing w:after="0" w:line="240" w:lineRule="auto"/>
              <w:rPr>
                <w:rFonts w:ascii="Arial" w:hAnsi="Arial" w:cs="Arial"/>
                <w:sz w:val="22"/>
                <w:szCs w:val="22"/>
              </w:rPr>
            </w:pPr>
            <w:r>
              <w:rPr>
                <w:rFonts w:ascii="Arial" w:hAnsi="Arial" w:cs="Arial"/>
                <w:color w:val="000000"/>
                <w:sz w:val="22"/>
                <w:szCs w:val="22"/>
              </w:rPr>
              <w:t>From this premise, it could be argued that reflective conversations, which value student teachers‟ lived experiences, authentic concerns, beliefs and practical theories have potential to empower and enlighten them and should be nurtured and encouraged.</w:t>
            </w:r>
          </w:p>
        </w:tc>
        <w:tc>
          <w:tcPr>
            <w:tcW w:w="1702" w:type="dxa"/>
            <w:tcBorders>
              <w:top w:val="single" w:sz="4" w:space="0" w:color="000000"/>
              <w:left w:val="single" w:sz="4" w:space="0" w:color="000000"/>
              <w:bottom w:val="single" w:sz="4" w:space="0" w:color="000000"/>
              <w:right w:val="single" w:sz="4" w:space="0" w:color="000000"/>
            </w:tcBorders>
          </w:tcPr>
          <w:p w14:paraId="52A5EBD1" w14:textId="77777777" w:rsidR="001142E9" w:rsidRDefault="002B3BB7">
            <w:pPr>
              <w:widowControl w:val="0"/>
              <w:spacing w:after="0" w:line="240" w:lineRule="auto"/>
              <w:rPr>
                <w:rFonts w:ascii="Arial" w:hAnsi="Arial" w:cs="Arial"/>
                <w:sz w:val="22"/>
                <w:szCs w:val="22"/>
              </w:rPr>
            </w:pPr>
            <w:r>
              <w:rPr>
                <w:rFonts w:ascii="Arial" w:hAnsi="Arial" w:cs="Arial"/>
                <w:sz w:val="22"/>
                <w:szCs w:val="22"/>
              </w:rPr>
              <w:t>Near-verbatim. Finishes with reference to Z-M’s 2009  thesis but without use of quotations</w:t>
            </w:r>
          </w:p>
        </w:tc>
        <w:tc>
          <w:tcPr>
            <w:tcW w:w="1913" w:type="dxa"/>
            <w:tcBorders>
              <w:top w:val="single" w:sz="4" w:space="0" w:color="000000"/>
              <w:left w:val="single" w:sz="4" w:space="0" w:color="000000"/>
              <w:bottom w:val="single" w:sz="4" w:space="0" w:color="000000"/>
              <w:right w:val="single" w:sz="4" w:space="0" w:color="000000"/>
            </w:tcBorders>
          </w:tcPr>
          <w:p w14:paraId="52A5EBD2" w14:textId="77777777" w:rsidR="001142E9" w:rsidRDefault="002B3BB7">
            <w:pPr>
              <w:pStyle w:val="TableContents"/>
              <w:spacing w:after="0" w:line="240" w:lineRule="auto"/>
              <w:rPr>
                <w:rFonts w:ascii="Arial" w:hAnsi="Arial" w:cs="Arial"/>
                <w:color w:val="000000"/>
                <w:sz w:val="22"/>
                <w:szCs w:val="22"/>
              </w:rPr>
            </w:pPr>
            <w:r>
              <w:rPr>
                <w:rFonts w:ascii="Arial" w:hAnsi="Arial" w:cs="Arial"/>
                <w:sz w:val="22"/>
                <w:szCs w:val="22"/>
              </w:rPr>
              <w:t xml:space="preserve">Note similar use of ‘nurtured and encouraged’ in both Z-M and Arday theses; ‘student teachers’ lived experiences’, </w:t>
            </w:r>
            <w:r>
              <w:rPr>
                <w:rFonts w:ascii="Arial" w:hAnsi="Arial" w:cs="Arial"/>
                <w:color w:val="000000"/>
                <w:sz w:val="22"/>
                <w:szCs w:val="22"/>
              </w:rPr>
              <w:t>authentic concerns, beliefs and practical theories’</w:t>
            </w:r>
          </w:p>
          <w:p w14:paraId="52A5EBD3" w14:textId="77777777" w:rsidR="001142E9" w:rsidRDefault="001142E9">
            <w:pPr>
              <w:pStyle w:val="TableContents"/>
              <w:spacing w:after="0" w:line="240" w:lineRule="auto"/>
              <w:rPr>
                <w:rFonts w:ascii="Arial" w:hAnsi="Arial" w:cs="Arial"/>
                <w:sz w:val="22"/>
                <w:szCs w:val="22"/>
              </w:rPr>
            </w:pPr>
          </w:p>
        </w:tc>
      </w:tr>
    </w:tbl>
    <w:p w14:paraId="52A5EBD5" w14:textId="77777777" w:rsidR="001142E9" w:rsidRDefault="001142E9">
      <w:pPr>
        <w:pStyle w:val="BodyText"/>
        <w:rPr>
          <w:rFonts w:ascii="Arial" w:hAnsi="Arial" w:cs="Arial"/>
          <w:sz w:val="22"/>
          <w:szCs w:val="22"/>
        </w:rPr>
      </w:pPr>
    </w:p>
    <w:p w14:paraId="52A5EBD6" w14:textId="77777777" w:rsidR="001142E9" w:rsidRDefault="001142E9">
      <w:pPr>
        <w:pStyle w:val="BodyText"/>
        <w:rPr>
          <w:rFonts w:ascii="Arial" w:hAnsi="Arial" w:cs="Arial"/>
          <w:sz w:val="22"/>
          <w:szCs w:val="22"/>
        </w:rPr>
      </w:pPr>
    </w:p>
    <w:p w14:paraId="52A5EBD7" w14:textId="77777777" w:rsidR="001142E9" w:rsidRDefault="001142E9">
      <w:pPr>
        <w:pStyle w:val="BodyText"/>
        <w:rPr>
          <w:rFonts w:ascii="Arial" w:hAnsi="Arial" w:cs="Arial"/>
          <w:sz w:val="22"/>
          <w:szCs w:val="22"/>
        </w:rPr>
      </w:pPr>
    </w:p>
    <w:tbl>
      <w:tblPr>
        <w:tblStyle w:val="TableGrid"/>
        <w:tblW w:w="13948" w:type="dxa"/>
        <w:tblInd w:w="113" w:type="dxa"/>
        <w:tblLayout w:type="fixed"/>
        <w:tblCellMar>
          <w:top w:w="100" w:type="dxa"/>
          <w:left w:w="120" w:type="dxa"/>
          <w:bottom w:w="100" w:type="dxa"/>
          <w:right w:w="120" w:type="dxa"/>
        </w:tblCellMar>
        <w:tblLook w:val="04A0" w:firstRow="1" w:lastRow="0" w:firstColumn="1" w:lastColumn="0" w:noHBand="0" w:noVBand="1"/>
      </w:tblPr>
      <w:tblGrid>
        <w:gridCol w:w="882"/>
        <w:gridCol w:w="1328"/>
        <w:gridCol w:w="3392"/>
        <w:gridCol w:w="3399"/>
        <w:gridCol w:w="1960"/>
        <w:gridCol w:w="2987"/>
      </w:tblGrid>
      <w:tr w:rsidR="001142E9" w14:paraId="52A5EBDE" w14:textId="77777777">
        <w:trPr>
          <w:tblHeader/>
        </w:trPr>
        <w:tc>
          <w:tcPr>
            <w:tcW w:w="881" w:type="dxa"/>
            <w:shd w:val="pct10" w:color="auto" w:fill="auto"/>
          </w:tcPr>
          <w:p w14:paraId="52A5EBD8" w14:textId="77777777" w:rsidR="001142E9" w:rsidRDefault="002B3BB7">
            <w:pPr>
              <w:spacing w:after="0" w:line="240" w:lineRule="auto"/>
              <w:rPr>
                <w:rFonts w:ascii="Arial" w:hAnsi="Arial" w:cs="Arial"/>
                <w:sz w:val="22"/>
                <w:szCs w:val="22"/>
              </w:rPr>
            </w:pPr>
            <w:r>
              <w:rPr>
                <w:rFonts w:ascii="Arial" w:eastAsia="Aptos" w:hAnsi="Arial" w:cs="Arial"/>
                <w:color w:val="000000"/>
                <w:sz w:val="22"/>
                <w:szCs w:val="22"/>
              </w:rPr>
              <w:t>Arday thesis p</w:t>
            </w:r>
          </w:p>
        </w:tc>
        <w:tc>
          <w:tcPr>
            <w:tcW w:w="1328" w:type="dxa"/>
            <w:shd w:val="pct10" w:color="auto" w:fill="auto"/>
          </w:tcPr>
          <w:p w14:paraId="52A5EBD9" w14:textId="77777777" w:rsidR="001142E9" w:rsidRDefault="002B3BB7">
            <w:pPr>
              <w:spacing w:after="0" w:line="240" w:lineRule="auto"/>
              <w:rPr>
                <w:rFonts w:ascii="Arial" w:hAnsi="Arial" w:cs="Arial"/>
                <w:sz w:val="22"/>
                <w:szCs w:val="22"/>
              </w:rPr>
            </w:pPr>
            <w:r>
              <w:rPr>
                <w:rFonts w:ascii="Arial" w:eastAsia="Aptos" w:hAnsi="Arial" w:cs="Arial"/>
                <w:color w:val="000000"/>
                <w:sz w:val="22"/>
                <w:szCs w:val="22"/>
              </w:rPr>
              <w:t>Zwozdiak-Myers thesis p</w:t>
            </w:r>
          </w:p>
        </w:tc>
        <w:tc>
          <w:tcPr>
            <w:tcW w:w="3392" w:type="dxa"/>
            <w:shd w:val="pct10" w:color="auto" w:fill="auto"/>
          </w:tcPr>
          <w:p w14:paraId="52A5EBDA" w14:textId="77777777" w:rsidR="001142E9" w:rsidRDefault="002B3BB7">
            <w:pPr>
              <w:spacing w:after="0" w:line="240" w:lineRule="auto"/>
              <w:rPr>
                <w:rFonts w:ascii="Arial" w:hAnsi="Arial" w:cs="Arial"/>
                <w:sz w:val="22"/>
                <w:szCs w:val="22"/>
              </w:rPr>
            </w:pPr>
            <w:r>
              <w:rPr>
                <w:rFonts w:ascii="Arial" w:eastAsia="Aptos" w:hAnsi="Arial" w:cs="Arial"/>
                <w:color w:val="000000"/>
                <w:sz w:val="22"/>
                <w:szCs w:val="22"/>
              </w:rPr>
              <w:t>Arday text extract</w:t>
            </w:r>
          </w:p>
        </w:tc>
        <w:tc>
          <w:tcPr>
            <w:tcW w:w="3399" w:type="dxa"/>
            <w:shd w:val="pct10" w:color="auto" w:fill="auto"/>
          </w:tcPr>
          <w:p w14:paraId="52A5EBDB" w14:textId="77777777" w:rsidR="001142E9" w:rsidRDefault="002B3BB7">
            <w:pPr>
              <w:spacing w:after="0" w:line="240" w:lineRule="auto"/>
              <w:rPr>
                <w:rFonts w:ascii="Arial" w:hAnsi="Arial" w:cs="Arial"/>
                <w:sz w:val="22"/>
                <w:szCs w:val="22"/>
              </w:rPr>
            </w:pPr>
            <w:r>
              <w:rPr>
                <w:rFonts w:ascii="Arial" w:eastAsia="Aptos" w:hAnsi="Arial" w:cs="Arial"/>
                <w:color w:val="000000"/>
                <w:sz w:val="22"/>
                <w:szCs w:val="22"/>
              </w:rPr>
              <w:t>Zwozdiak-Myers text extract</w:t>
            </w:r>
          </w:p>
        </w:tc>
        <w:tc>
          <w:tcPr>
            <w:tcW w:w="1960" w:type="dxa"/>
            <w:shd w:val="pct10" w:color="auto" w:fill="auto"/>
          </w:tcPr>
          <w:p w14:paraId="52A5EBDC" w14:textId="77777777" w:rsidR="001142E9" w:rsidRDefault="002B3BB7">
            <w:pPr>
              <w:spacing w:after="0" w:line="240" w:lineRule="auto"/>
              <w:rPr>
                <w:rFonts w:ascii="Arial" w:hAnsi="Arial" w:cs="Arial"/>
                <w:sz w:val="22"/>
                <w:szCs w:val="22"/>
              </w:rPr>
            </w:pPr>
            <w:r>
              <w:rPr>
                <w:rFonts w:ascii="Arial" w:eastAsia="Aptos" w:hAnsi="Arial" w:cs="Arial"/>
                <w:color w:val="000000"/>
                <w:sz w:val="22"/>
                <w:szCs w:val="22"/>
              </w:rPr>
              <w:t>Type</w:t>
            </w:r>
          </w:p>
        </w:tc>
        <w:tc>
          <w:tcPr>
            <w:tcW w:w="2987" w:type="dxa"/>
            <w:shd w:val="pct10" w:color="auto" w:fill="auto"/>
          </w:tcPr>
          <w:p w14:paraId="52A5EBDD" w14:textId="77777777" w:rsidR="001142E9" w:rsidRDefault="002B3BB7">
            <w:pPr>
              <w:spacing w:after="0" w:line="240" w:lineRule="auto"/>
              <w:rPr>
                <w:rFonts w:ascii="Arial" w:hAnsi="Arial" w:cs="Arial"/>
                <w:sz w:val="22"/>
                <w:szCs w:val="22"/>
              </w:rPr>
            </w:pPr>
            <w:r>
              <w:rPr>
                <w:rFonts w:ascii="Arial" w:eastAsia="Aptos" w:hAnsi="Arial" w:cs="Arial"/>
                <w:color w:val="000000"/>
                <w:sz w:val="22"/>
                <w:szCs w:val="22"/>
              </w:rPr>
              <w:t>Notes</w:t>
            </w:r>
          </w:p>
        </w:tc>
      </w:tr>
      <w:tr w:rsidR="001142E9" w14:paraId="52A5EBE9" w14:textId="77777777">
        <w:tc>
          <w:tcPr>
            <w:tcW w:w="881" w:type="dxa"/>
          </w:tcPr>
          <w:p w14:paraId="52A5EBDF" w14:textId="77777777" w:rsidR="001142E9" w:rsidRDefault="002B3BB7">
            <w:pPr>
              <w:spacing w:after="0" w:line="240" w:lineRule="auto"/>
              <w:rPr>
                <w:rFonts w:ascii="Arial" w:hAnsi="Arial" w:cs="Arial"/>
                <w:sz w:val="22"/>
                <w:szCs w:val="22"/>
              </w:rPr>
            </w:pPr>
            <w:r>
              <w:rPr>
                <w:rFonts w:ascii="Arial" w:eastAsia="Aptos" w:hAnsi="Arial" w:cs="Arial"/>
                <w:color w:val="000000"/>
                <w:sz w:val="22"/>
                <w:szCs w:val="22"/>
              </w:rPr>
              <w:t>61</w:t>
            </w:r>
          </w:p>
        </w:tc>
        <w:tc>
          <w:tcPr>
            <w:tcW w:w="1328" w:type="dxa"/>
          </w:tcPr>
          <w:p w14:paraId="52A5EBE0" w14:textId="77777777" w:rsidR="001142E9" w:rsidRDefault="002B3BB7">
            <w:pPr>
              <w:spacing w:after="0" w:line="240" w:lineRule="auto"/>
              <w:rPr>
                <w:rFonts w:ascii="Arial" w:hAnsi="Arial" w:cs="Arial"/>
                <w:sz w:val="22"/>
                <w:szCs w:val="22"/>
              </w:rPr>
            </w:pPr>
            <w:r>
              <w:rPr>
                <w:rFonts w:ascii="Arial" w:eastAsia="Aptos" w:hAnsi="Arial" w:cs="Arial"/>
                <w:color w:val="000000"/>
                <w:sz w:val="22"/>
                <w:szCs w:val="22"/>
              </w:rPr>
              <w:t>44</w:t>
            </w:r>
          </w:p>
        </w:tc>
        <w:tc>
          <w:tcPr>
            <w:tcW w:w="3392" w:type="dxa"/>
          </w:tcPr>
          <w:p w14:paraId="52A5EBE1" w14:textId="77777777" w:rsidR="001142E9" w:rsidRDefault="002B3BB7">
            <w:pPr>
              <w:spacing w:after="0" w:line="240" w:lineRule="auto"/>
              <w:rPr>
                <w:rFonts w:ascii="Arial" w:hAnsi="Arial" w:cs="Arial"/>
                <w:color w:val="000000"/>
                <w:sz w:val="22"/>
                <w:szCs w:val="22"/>
              </w:rPr>
            </w:pPr>
            <w:r>
              <w:rPr>
                <w:rFonts w:ascii="Arial" w:eastAsia="Aptos" w:hAnsi="Arial" w:cs="Arial"/>
                <w:b/>
                <w:bCs/>
                <w:color w:val="000000"/>
                <w:sz w:val="22"/>
                <w:szCs w:val="22"/>
              </w:rPr>
              <w:t>2.7 Reflective practice as an integral part of action research</w:t>
            </w:r>
            <w:r>
              <w:rPr>
                <w:rFonts w:ascii="Arial" w:eastAsia="Aptos" w:hAnsi="Arial" w:cs="Arial"/>
                <w:color w:val="000000"/>
                <w:sz w:val="22"/>
                <w:szCs w:val="22"/>
              </w:rPr>
              <w:t xml:space="preserve"> </w:t>
            </w:r>
            <w:r>
              <w:rPr>
                <w:rFonts w:ascii="Arial" w:eastAsia="Aptos" w:hAnsi="Arial" w:cs="Arial"/>
                <w:color w:val="000000"/>
                <w:sz w:val="22"/>
                <w:szCs w:val="22"/>
              </w:rPr>
              <w:br/>
              <w:t xml:space="preserve">Reflective practice underpins many research paradigms, particularly those situated in the hermeneutics, which focus on practitioners learning through experiential learning through authentic lived experiences (Whitehead, 1993). </w:t>
            </w:r>
          </w:p>
          <w:p w14:paraId="52A5EBE2" w14:textId="77777777" w:rsidR="001142E9" w:rsidRDefault="001142E9">
            <w:pPr>
              <w:spacing w:after="0" w:line="240" w:lineRule="auto"/>
              <w:rPr>
                <w:rFonts w:ascii="Arial" w:hAnsi="Arial" w:cs="Arial"/>
                <w:color w:val="000000"/>
                <w:sz w:val="22"/>
                <w:szCs w:val="22"/>
              </w:rPr>
            </w:pPr>
          </w:p>
        </w:tc>
        <w:tc>
          <w:tcPr>
            <w:tcW w:w="3399" w:type="dxa"/>
          </w:tcPr>
          <w:p w14:paraId="52A5EBE3" w14:textId="77777777" w:rsidR="001142E9" w:rsidRDefault="002B3BB7">
            <w:pPr>
              <w:spacing w:after="0" w:line="240" w:lineRule="auto"/>
              <w:rPr>
                <w:rFonts w:ascii="Arial" w:hAnsi="Arial" w:cs="Arial"/>
                <w:color w:val="000000"/>
                <w:sz w:val="22"/>
                <w:szCs w:val="22"/>
              </w:rPr>
            </w:pPr>
            <w:r>
              <w:rPr>
                <w:rFonts w:ascii="Arial" w:eastAsia="Aptos" w:hAnsi="Arial" w:cs="Arial"/>
                <w:b/>
                <w:bCs/>
                <w:color w:val="000000"/>
                <w:sz w:val="22"/>
                <w:szCs w:val="22"/>
              </w:rPr>
              <w:t>2.8  Reflective practice as an integral part of action research</w:t>
            </w:r>
            <w:r>
              <w:rPr>
                <w:rFonts w:ascii="Arial" w:eastAsia="Aptos" w:hAnsi="Arial" w:cs="Arial"/>
                <w:color w:val="000000"/>
                <w:sz w:val="22"/>
                <w:szCs w:val="22"/>
              </w:rPr>
              <w:br/>
            </w:r>
            <w:r>
              <w:rPr>
                <w:rFonts w:ascii="Arial" w:eastAsia="Aptos" w:hAnsi="Arial" w:cs="Arial"/>
                <w:color w:val="000000"/>
                <w:sz w:val="22"/>
                <w:szCs w:val="22"/>
              </w:rPr>
              <w:t>Reflective practice is at the heart of certain research paradigms, particularly those situated in the hermeneutics, which focus on practitioners learning about the art and craft of their profession through personal “authentic‟ lived experiences. (Whitehead, 1993)</w:t>
            </w:r>
          </w:p>
          <w:p w14:paraId="52A5EBE4" w14:textId="77777777" w:rsidR="001142E9" w:rsidRDefault="001142E9">
            <w:pPr>
              <w:spacing w:after="0" w:line="240" w:lineRule="auto"/>
              <w:rPr>
                <w:rFonts w:ascii="Arial" w:hAnsi="Arial" w:cs="Arial"/>
                <w:color w:val="000000"/>
                <w:sz w:val="22"/>
                <w:szCs w:val="22"/>
              </w:rPr>
            </w:pPr>
          </w:p>
        </w:tc>
        <w:tc>
          <w:tcPr>
            <w:tcW w:w="1960" w:type="dxa"/>
          </w:tcPr>
          <w:p w14:paraId="52A5EBE5" w14:textId="77777777" w:rsidR="001142E9" w:rsidRDefault="002B3BB7">
            <w:pPr>
              <w:spacing w:after="0" w:line="240" w:lineRule="auto"/>
              <w:rPr>
                <w:rFonts w:ascii="Arial" w:hAnsi="Arial" w:cs="Arial"/>
                <w:sz w:val="22"/>
                <w:szCs w:val="22"/>
              </w:rPr>
            </w:pPr>
            <w:r>
              <w:rPr>
                <w:rFonts w:ascii="Arial" w:eastAsia="Aptos" w:hAnsi="Arial" w:cs="Arial"/>
                <w:color w:val="000000"/>
                <w:sz w:val="22"/>
                <w:szCs w:val="22"/>
              </w:rPr>
              <w:t>Extensive verbatim sentences, some paraphrase</w:t>
            </w:r>
          </w:p>
        </w:tc>
        <w:tc>
          <w:tcPr>
            <w:tcW w:w="2987" w:type="dxa"/>
          </w:tcPr>
          <w:p w14:paraId="52A5EBE6" w14:textId="77777777" w:rsidR="001142E9" w:rsidRDefault="002B3BB7">
            <w:pPr>
              <w:spacing w:after="0" w:line="240" w:lineRule="auto"/>
              <w:rPr>
                <w:rFonts w:ascii="Arial" w:hAnsi="Arial" w:cs="Arial"/>
                <w:sz w:val="22"/>
                <w:szCs w:val="22"/>
              </w:rPr>
            </w:pPr>
            <w:r>
              <w:rPr>
                <w:rFonts w:ascii="Arial" w:eastAsia="Aptos" w:hAnsi="Arial" w:cs="Arial"/>
                <w:sz w:val="22"/>
                <w:szCs w:val="22"/>
              </w:rPr>
              <w:t>Note how Z-M’s section 2.6 is omitted and her 2.8 section becomes Arday’s 2.7 section. In other words, headings of the subsections are the same</w:t>
            </w:r>
          </w:p>
          <w:p w14:paraId="52A5EBE7" w14:textId="77777777" w:rsidR="001142E9" w:rsidRDefault="001142E9">
            <w:pPr>
              <w:spacing w:after="0" w:line="240" w:lineRule="auto"/>
              <w:rPr>
                <w:rFonts w:ascii="Arial" w:hAnsi="Arial" w:cs="Arial"/>
                <w:sz w:val="22"/>
                <w:szCs w:val="22"/>
              </w:rPr>
            </w:pPr>
          </w:p>
          <w:p w14:paraId="52A5EBE8" w14:textId="77777777" w:rsidR="001142E9" w:rsidRDefault="002B3BB7">
            <w:pPr>
              <w:spacing w:after="0" w:line="240" w:lineRule="auto"/>
              <w:rPr>
                <w:rFonts w:ascii="Arial" w:hAnsi="Arial" w:cs="Arial"/>
                <w:sz w:val="22"/>
                <w:szCs w:val="22"/>
              </w:rPr>
            </w:pPr>
            <w:r>
              <w:rPr>
                <w:rFonts w:ascii="Arial" w:eastAsia="Aptos" w:hAnsi="Arial" w:cs="Arial"/>
                <w:sz w:val="22"/>
                <w:szCs w:val="22"/>
              </w:rPr>
              <w:t xml:space="preserve">Paraphrase: ‘heart of’ in Z-M’ becomes ‘underpins’ in Z-M </w:t>
            </w:r>
          </w:p>
        </w:tc>
      </w:tr>
      <w:tr w:rsidR="001142E9" w14:paraId="52A5EBF1" w14:textId="77777777">
        <w:tc>
          <w:tcPr>
            <w:tcW w:w="881" w:type="dxa"/>
          </w:tcPr>
          <w:p w14:paraId="52A5EBEA"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61</w:t>
            </w:r>
          </w:p>
        </w:tc>
        <w:tc>
          <w:tcPr>
            <w:tcW w:w="1328" w:type="dxa"/>
          </w:tcPr>
          <w:p w14:paraId="52A5EBEB"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44</w:t>
            </w:r>
          </w:p>
        </w:tc>
        <w:tc>
          <w:tcPr>
            <w:tcW w:w="3392" w:type="dxa"/>
          </w:tcPr>
          <w:p w14:paraId="52A5EBEC"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In this study, action research provides the stimulus through which student teachers’ explore personal practice within a specific context (peer-mentoring) (Le Cornu 2005) … in an attempt to improve the effectiveness of their own teaching practice. </w:t>
            </w:r>
          </w:p>
          <w:p w14:paraId="52A5EBED" w14:textId="77777777" w:rsidR="001142E9" w:rsidRDefault="001142E9">
            <w:pPr>
              <w:spacing w:after="0" w:line="240" w:lineRule="auto"/>
              <w:rPr>
                <w:rFonts w:ascii="Arial" w:hAnsi="Arial" w:cs="Arial"/>
                <w:color w:val="000000"/>
                <w:sz w:val="22"/>
                <w:szCs w:val="22"/>
              </w:rPr>
            </w:pPr>
          </w:p>
        </w:tc>
        <w:tc>
          <w:tcPr>
            <w:tcW w:w="3399" w:type="dxa"/>
          </w:tcPr>
          <w:p w14:paraId="52A5EBEE"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In this study, action research provides the vehicle through which student teachers‟ interrogate personal practice in a specific context so as to improve the effectiveness of their own teaching.</w:t>
            </w:r>
          </w:p>
        </w:tc>
        <w:tc>
          <w:tcPr>
            <w:tcW w:w="1960" w:type="dxa"/>
          </w:tcPr>
          <w:p w14:paraId="52A5EBEF"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Verbatim text, some paraphrase</w:t>
            </w:r>
          </w:p>
        </w:tc>
        <w:tc>
          <w:tcPr>
            <w:tcW w:w="2987" w:type="dxa"/>
          </w:tcPr>
          <w:p w14:paraId="52A5EBF0"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Insertion of Le Cornu, use of ‘in an attempt to’ in Arday rather than ‘so as to’ in Z-M’s, then return to verbatim</w:t>
            </w:r>
          </w:p>
        </w:tc>
      </w:tr>
      <w:tr w:rsidR="001142E9" w14:paraId="52A5EBF8" w14:textId="77777777">
        <w:tc>
          <w:tcPr>
            <w:tcW w:w="881" w:type="dxa"/>
          </w:tcPr>
          <w:p w14:paraId="52A5EBF2"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61-62</w:t>
            </w:r>
          </w:p>
        </w:tc>
        <w:tc>
          <w:tcPr>
            <w:tcW w:w="1328" w:type="dxa"/>
          </w:tcPr>
          <w:p w14:paraId="52A5EBF3"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44</w:t>
            </w:r>
          </w:p>
        </w:tc>
        <w:tc>
          <w:tcPr>
            <w:tcW w:w="3392" w:type="dxa"/>
          </w:tcPr>
          <w:p w14:paraId="52A5EBF4"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Professional knowledge and judgement can be developed through reflection and further knowledge acquisition, while critical reflection supported by practitioner engagement in research can provide a catalyst for measuring the quality of teaching and learning within the classroom, which can be ‘evaluated and contextualised as a prelude to further improvement’ (Bartlett and Burton, 2012; Bartlett and Leask, 2005: 298).</w:t>
            </w:r>
          </w:p>
        </w:tc>
        <w:tc>
          <w:tcPr>
            <w:tcW w:w="3399" w:type="dxa"/>
          </w:tcPr>
          <w:p w14:paraId="52A5EBF5"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Professional knowledge and judgement can be developed through reflection and further development, while critical reflection supported by practitioner research can provide the „means by which the quality of teaching and learning in the classroom can be evaluated as a prelude to improvement‟ (Bartlett and Leask, 2005: 298).</w:t>
            </w:r>
          </w:p>
        </w:tc>
        <w:tc>
          <w:tcPr>
            <w:tcW w:w="1960" w:type="dxa"/>
          </w:tcPr>
          <w:p w14:paraId="52A5EBF6"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Verbatim text, interrupted by ‘can provide a catalyst for measuring ‘, followed by return to verbatim; copies Z-M’s curated literature list</w:t>
            </w:r>
          </w:p>
        </w:tc>
        <w:tc>
          <w:tcPr>
            <w:tcW w:w="2987" w:type="dxa"/>
          </w:tcPr>
          <w:p w14:paraId="52A5EBF7"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Note use of Bartlett and Leask</w:t>
            </w:r>
          </w:p>
        </w:tc>
      </w:tr>
      <w:tr w:rsidR="001142E9" w14:paraId="52A5EC00" w14:textId="77777777">
        <w:tc>
          <w:tcPr>
            <w:tcW w:w="881" w:type="dxa"/>
          </w:tcPr>
          <w:p w14:paraId="52A5EBF9"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62</w:t>
            </w:r>
          </w:p>
        </w:tc>
        <w:tc>
          <w:tcPr>
            <w:tcW w:w="1328" w:type="dxa"/>
          </w:tcPr>
          <w:p w14:paraId="52A5EBFA"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44</w:t>
            </w:r>
          </w:p>
        </w:tc>
        <w:tc>
          <w:tcPr>
            <w:tcW w:w="3392" w:type="dxa"/>
          </w:tcPr>
          <w:p w14:paraId="52A5EBFB"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McKernan (1996: 29) refers to action research as grounded curriculum theory in that theories are not validated independently of practice and then applied to curriculum, they are validated ‘through experimental learning and practice’. </w:t>
            </w:r>
          </w:p>
        </w:tc>
        <w:tc>
          <w:tcPr>
            <w:tcW w:w="3399" w:type="dxa"/>
          </w:tcPr>
          <w:p w14:paraId="52A5EBFC"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McKernan (1996: 29) refers to action research as grounded curriculum theory in that “theories are not validated independently of practice and then applied to curriculum, they are validated through practice‟. </w:t>
            </w:r>
          </w:p>
          <w:p w14:paraId="52A5EBFD" w14:textId="77777777" w:rsidR="001142E9" w:rsidRDefault="001142E9">
            <w:pPr>
              <w:spacing w:after="0" w:line="240" w:lineRule="auto"/>
              <w:rPr>
                <w:rFonts w:ascii="Arial" w:hAnsi="Arial" w:cs="Arial"/>
                <w:color w:val="000000"/>
                <w:sz w:val="22"/>
                <w:szCs w:val="22"/>
              </w:rPr>
            </w:pPr>
          </w:p>
        </w:tc>
        <w:tc>
          <w:tcPr>
            <w:tcW w:w="1960" w:type="dxa"/>
          </w:tcPr>
          <w:p w14:paraId="52A5EBFE"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Verbatim quotes, </w:t>
            </w:r>
          </w:p>
        </w:tc>
        <w:tc>
          <w:tcPr>
            <w:tcW w:w="2987" w:type="dxa"/>
          </w:tcPr>
          <w:p w14:paraId="52A5EBFF"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Sentences are identical apart from addition of ‘experimental learning’</w:t>
            </w:r>
          </w:p>
        </w:tc>
      </w:tr>
      <w:tr w:rsidR="001142E9" w14:paraId="52A5EC0D" w14:textId="77777777">
        <w:tc>
          <w:tcPr>
            <w:tcW w:w="881" w:type="dxa"/>
          </w:tcPr>
          <w:p w14:paraId="52A5EC01" w14:textId="77777777" w:rsidR="001142E9" w:rsidRDefault="002B3BB7">
            <w:pPr>
              <w:spacing w:after="0" w:line="240" w:lineRule="auto"/>
              <w:rPr>
                <w:rFonts w:ascii="Arial" w:eastAsia="Aptos" w:hAnsi="Arial" w:cs="Arial"/>
                <w:sz w:val="22"/>
                <w:szCs w:val="22"/>
              </w:rPr>
            </w:pPr>
            <w:r>
              <w:rPr>
                <w:rFonts w:ascii="Arial" w:hAnsi="Arial" w:cs="Arial"/>
                <w:color w:val="000000"/>
                <w:sz w:val="22"/>
                <w:szCs w:val="22"/>
              </w:rPr>
              <w:t>62</w:t>
            </w:r>
          </w:p>
        </w:tc>
        <w:tc>
          <w:tcPr>
            <w:tcW w:w="1328" w:type="dxa"/>
          </w:tcPr>
          <w:p w14:paraId="52A5EC02" w14:textId="77777777" w:rsidR="001142E9" w:rsidRDefault="002B3BB7">
            <w:pPr>
              <w:spacing w:after="0" w:line="240" w:lineRule="auto"/>
              <w:rPr>
                <w:rFonts w:ascii="Arial" w:eastAsia="Aptos" w:hAnsi="Arial" w:cs="Arial"/>
                <w:sz w:val="22"/>
                <w:szCs w:val="22"/>
              </w:rPr>
            </w:pPr>
            <w:r>
              <w:rPr>
                <w:rFonts w:ascii="Arial" w:hAnsi="Arial" w:cs="Arial"/>
                <w:color w:val="000000"/>
                <w:sz w:val="22"/>
                <w:szCs w:val="22"/>
              </w:rPr>
              <w:t>44</w:t>
            </w:r>
          </w:p>
        </w:tc>
        <w:tc>
          <w:tcPr>
            <w:tcW w:w="3392" w:type="dxa"/>
          </w:tcPr>
          <w:p w14:paraId="52A5EC03"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Similarly, Elliott (2005: 372) provides a perspective for considering the context of practice, and how determinants are measured within practice. </w:t>
            </w:r>
          </w:p>
          <w:p w14:paraId="52A5EC04" w14:textId="77777777" w:rsidR="001142E9" w:rsidRDefault="001142E9">
            <w:pPr>
              <w:spacing w:after="0" w:line="240" w:lineRule="auto"/>
              <w:rPr>
                <w:rFonts w:ascii="Arial" w:hAnsi="Arial" w:cs="Arial"/>
                <w:color w:val="000000"/>
                <w:sz w:val="22"/>
                <w:szCs w:val="22"/>
              </w:rPr>
            </w:pPr>
          </w:p>
          <w:p w14:paraId="52A5EC05"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This viewpoint aligns with the position advanced by Schon (1983, 1987) who asserted that student teachers come to develop their personal epistemology of practice, in addition to Boud and Walker (1990) who underline the importance attributed towards the context of the learning environment in framing ideas associated with teaching practice. </w:t>
            </w:r>
          </w:p>
        </w:tc>
        <w:tc>
          <w:tcPr>
            <w:tcW w:w="3399" w:type="dxa"/>
          </w:tcPr>
          <w:p w14:paraId="52A5EC06"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Similarly, Elliott (2005: 372) writes “theory from my perspective arises in the context of the practice and its warrant is determined in practice. </w:t>
            </w:r>
          </w:p>
          <w:p w14:paraId="52A5EC07"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Therein lies the unity of theory and practice‟. This viewpoint reinforces the line of argument advanced by Schon (1983, 1987) of how student teachers come to develop their personal epistemology of practice (see section 2.7) in addition to that of Boud and Walker (1990) of the importance placed on the context of the learning milieu (see section 1.2). </w:t>
            </w:r>
          </w:p>
          <w:p w14:paraId="52A5EC08" w14:textId="77777777" w:rsidR="001142E9" w:rsidRDefault="001142E9">
            <w:pPr>
              <w:spacing w:after="0" w:line="240" w:lineRule="auto"/>
              <w:rPr>
                <w:rFonts w:ascii="Arial" w:hAnsi="Arial" w:cs="Arial"/>
                <w:color w:val="000000"/>
                <w:sz w:val="22"/>
                <w:szCs w:val="22"/>
              </w:rPr>
            </w:pPr>
          </w:p>
          <w:p w14:paraId="52A5EC09" w14:textId="77777777" w:rsidR="001142E9" w:rsidRDefault="001142E9">
            <w:pPr>
              <w:spacing w:after="0" w:line="240" w:lineRule="auto"/>
              <w:rPr>
                <w:rFonts w:ascii="Arial" w:hAnsi="Arial" w:cs="Arial"/>
                <w:color w:val="000000"/>
                <w:sz w:val="22"/>
                <w:szCs w:val="22"/>
              </w:rPr>
            </w:pPr>
          </w:p>
          <w:p w14:paraId="52A5EC0A" w14:textId="77777777" w:rsidR="001142E9" w:rsidRDefault="001142E9">
            <w:pPr>
              <w:spacing w:after="0" w:line="240" w:lineRule="auto"/>
              <w:rPr>
                <w:rFonts w:ascii="Arial" w:hAnsi="Arial" w:cs="Arial"/>
                <w:color w:val="000000"/>
                <w:sz w:val="22"/>
                <w:szCs w:val="22"/>
              </w:rPr>
            </w:pPr>
          </w:p>
        </w:tc>
        <w:tc>
          <w:tcPr>
            <w:tcW w:w="1960" w:type="dxa"/>
          </w:tcPr>
          <w:p w14:paraId="52A5EC0B" w14:textId="77777777" w:rsidR="001142E9" w:rsidRDefault="002B3BB7">
            <w:pPr>
              <w:spacing w:after="0" w:line="240" w:lineRule="auto"/>
              <w:rPr>
                <w:rFonts w:ascii="Arial" w:hAnsi="Arial" w:cs="Arial"/>
                <w:sz w:val="22"/>
                <w:szCs w:val="22"/>
              </w:rPr>
            </w:pPr>
            <w:r>
              <w:rPr>
                <w:rFonts w:ascii="Arial" w:eastAsia="Aptos" w:hAnsi="Arial" w:cs="Arial"/>
                <w:sz w:val="22"/>
                <w:szCs w:val="22"/>
              </w:rPr>
              <w:t>Verbatim text with minor word substitution; uses the same literature as Z-M (Schon, Boud and Walker), some paraphrase</w:t>
            </w:r>
          </w:p>
        </w:tc>
        <w:tc>
          <w:tcPr>
            <w:tcW w:w="2987" w:type="dxa"/>
          </w:tcPr>
          <w:p w14:paraId="52A5EC0C" w14:textId="77777777" w:rsidR="001142E9" w:rsidRDefault="002B3BB7">
            <w:pPr>
              <w:spacing w:after="0" w:line="240" w:lineRule="auto"/>
              <w:rPr>
                <w:rFonts w:ascii="Arial" w:hAnsi="Arial" w:cs="Arial"/>
                <w:sz w:val="22"/>
                <w:szCs w:val="22"/>
              </w:rPr>
            </w:pPr>
            <w:r>
              <w:rPr>
                <w:rFonts w:ascii="Arial" w:eastAsia="Aptos" w:hAnsi="Arial" w:cs="Arial"/>
                <w:sz w:val="22"/>
                <w:szCs w:val="22"/>
              </w:rPr>
              <w:t>Elliott’s quote is rendered as a summary</w:t>
            </w:r>
          </w:p>
        </w:tc>
      </w:tr>
      <w:tr w:rsidR="001142E9" w14:paraId="52A5EC15" w14:textId="77777777">
        <w:tc>
          <w:tcPr>
            <w:tcW w:w="881" w:type="dxa"/>
          </w:tcPr>
          <w:p w14:paraId="52A5EC0E" w14:textId="77777777" w:rsidR="001142E9" w:rsidRDefault="002B3BB7">
            <w:pPr>
              <w:spacing w:after="0" w:line="240" w:lineRule="auto"/>
              <w:rPr>
                <w:rFonts w:ascii="Arial" w:hAnsi="Arial" w:cs="Arial"/>
                <w:sz w:val="22"/>
                <w:szCs w:val="22"/>
              </w:rPr>
            </w:pPr>
            <w:r>
              <w:rPr>
                <w:rFonts w:ascii="Arial" w:eastAsia="Aptos" w:hAnsi="Arial" w:cs="Arial"/>
                <w:sz w:val="22"/>
                <w:szCs w:val="22"/>
              </w:rPr>
              <w:t>62</w:t>
            </w:r>
          </w:p>
        </w:tc>
        <w:tc>
          <w:tcPr>
            <w:tcW w:w="1328" w:type="dxa"/>
          </w:tcPr>
          <w:p w14:paraId="52A5EC0F" w14:textId="77777777" w:rsidR="001142E9" w:rsidRDefault="002B3BB7">
            <w:pPr>
              <w:spacing w:after="0" w:line="240" w:lineRule="auto"/>
              <w:rPr>
                <w:rFonts w:ascii="Arial" w:hAnsi="Arial" w:cs="Arial"/>
                <w:sz w:val="22"/>
                <w:szCs w:val="22"/>
              </w:rPr>
            </w:pPr>
            <w:r>
              <w:rPr>
                <w:rFonts w:ascii="Arial" w:eastAsia="Aptos" w:hAnsi="Arial" w:cs="Arial"/>
                <w:sz w:val="22"/>
                <w:szCs w:val="22"/>
              </w:rPr>
              <w:t>44</w:t>
            </w:r>
          </w:p>
        </w:tc>
        <w:tc>
          <w:tcPr>
            <w:tcW w:w="3392" w:type="dxa"/>
          </w:tcPr>
          <w:p w14:paraId="52A5EC10"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As student teachers’ engage in reflective practice, the knowledge gained and theories constructed are framed by personal experiences within the context of a specific teaching situation.</w:t>
            </w:r>
          </w:p>
          <w:p w14:paraId="52A5EC11" w14:textId="77777777" w:rsidR="001142E9" w:rsidRDefault="001142E9">
            <w:pPr>
              <w:spacing w:after="0" w:line="240" w:lineRule="auto"/>
              <w:rPr>
                <w:rFonts w:ascii="Arial" w:hAnsi="Arial" w:cs="Arial"/>
                <w:color w:val="000000"/>
                <w:sz w:val="22"/>
                <w:szCs w:val="22"/>
              </w:rPr>
            </w:pPr>
          </w:p>
        </w:tc>
        <w:tc>
          <w:tcPr>
            <w:tcW w:w="3399" w:type="dxa"/>
          </w:tcPr>
          <w:p w14:paraId="52A5EC12"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As they engage in reflective practice, the knowledge gained and theories constructed will, in part, be shaped by personal experiences within the context of a specific teaching situation.</w:t>
            </w:r>
            <w:r>
              <w:rPr>
                <w:rFonts w:ascii="Arial" w:eastAsia="Aptos" w:hAnsi="Arial" w:cs="Arial"/>
                <w:color w:val="000000"/>
                <w:sz w:val="22"/>
                <w:szCs w:val="22"/>
              </w:rPr>
              <w:br/>
            </w:r>
          </w:p>
        </w:tc>
        <w:tc>
          <w:tcPr>
            <w:tcW w:w="1960" w:type="dxa"/>
          </w:tcPr>
          <w:p w14:paraId="52A5EC13" w14:textId="77777777" w:rsidR="001142E9" w:rsidRDefault="002B3BB7">
            <w:pPr>
              <w:spacing w:after="0" w:line="240" w:lineRule="auto"/>
              <w:rPr>
                <w:rFonts w:ascii="Arial" w:hAnsi="Arial" w:cs="Arial"/>
                <w:sz w:val="22"/>
                <w:szCs w:val="22"/>
              </w:rPr>
            </w:pPr>
            <w:r>
              <w:rPr>
                <w:rFonts w:ascii="Arial" w:eastAsia="Aptos" w:hAnsi="Arial" w:cs="Arial"/>
                <w:sz w:val="22"/>
                <w:szCs w:val="22"/>
              </w:rPr>
              <w:t>Verbatim text, with paraphrase</w:t>
            </w:r>
          </w:p>
        </w:tc>
        <w:tc>
          <w:tcPr>
            <w:tcW w:w="2987" w:type="dxa"/>
          </w:tcPr>
          <w:p w14:paraId="52A5EC14" w14:textId="77777777" w:rsidR="001142E9" w:rsidRDefault="002B3BB7">
            <w:pPr>
              <w:spacing w:after="0" w:line="240" w:lineRule="auto"/>
              <w:rPr>
                <w:rFonts w:ascii="Arial" w:hAnsi="Arial" w:cs="Arial"/>
                <w:sz w:val="22"/>
                <w:szCs w:val="22"/>
              </w:rPr>
            </w:pPr>
            <w:r>
              <w:rPr>
                <w:rFonts w:ascii="Arial" w:eastAsia="Aptos" w:hAnsi="Arial" w:cs="Arial"/>
                <w:sz w:val="22"/>
                <w:szCs w:val="22"/>
              </w:rPr>
              <w:t>Paraphrase: ‘they’ becomes ‘student teachers’</w:t>
            </w:r>
          </w:p>
        </w:tc>
      </w:tr>
      <w:tr w:rsidR="001142E9" w14:paraId="52A5EC1E" w14:textId="77777777">
        <w:trPr>
          <w:trHeight w:val="4564"/>
        </w:trPr>
        <w:tc>
          <w:tcPr>
            <w:tcW w:w="881" w:type="dxa"/>
          </w:tcPr>
          <w:p w14:paraId="52A5EC16" w14:textId="77777777" w:rsidR="001142E9" w:rsidRDefault="002B3BB7">
            <w:pPr>
              <w:spacing w:after="0" w:line="240" w:lineRule="auto"/>
              <w:rPr>
                <w:rFonts w:ascii="Arial" w:hAnsi="Arial" w:cs="Arial"/>
                <w:sz w:val="22"/>
                <w:szCs w:val="22"/>
              </w:rPr>
            </w:pPr>
            <w:r>
              <w:rPr>
                <w:rFonts w:ascii="Arial" w:eastAsia="Aptos" w:hAnsi="Arial" w:cs="Arial"/>
                <w:sz w:val="22"/>
                <w:szCs w:val="22"/>
              </w:rPr>
              <w:t>62</w:t>
            </w:r>
          </w:p>
        </w:tc>
        <w:tc>
          <w:tcPr>
            <w:tcW w:w="1328" w:type="dxa"/>
          </w:tcPr>
          <w:p w14:paraId="52A5EC17" w14:textId="77777777" w:rsidR="001142E9" w:rsidRDefault="002B3BB7">
            <w:pPr>
              <w:spacing w:after="0" w:line="240" w:lineRule="auto"/>
              <w:rPr>
                <w:rFonts w:ascii="Arial" w:hAnsi="Arial" w:cs="Arial"/>
                <w:sz w:val="22"/>
                <w:szCs w:val="22"/>
              </w:rPr>
            </w:pPr>
            <w:r>
              <w:rPr>
                <w:rFonts w:ascii="Arial" w:eastAsia="Aptos" w:hAnsi="Arial" w:cs="Arial"/>
                <w:sz w:val="22"/>
                <w:szCs w:val="22"/>
              </w:rPr>
              <w:t>44</w:t>
            </w:r>
          </w:p>
        </w:tc>
        <w:tc>
          <w:tcPr>
            <w:tcW w:w="3392" w:type="dxa"/>
          </w:tcPr>
          <w:p w14:paraId="52A5EC18"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While advocating action research as a vehicle to validate teachers’ personal, professional and political knowledge, Gore and Zeichner (1995: 209) contest the claim presented that such practice provides a platform for teachers to remain hidden within the confines of action research, which effects and contradicts some aspects of traditional practice. </w:t>
            </w:r>
          </w:p>
        </w:tc>
        <w:tc>
          <w:tcPr>
            <w:tcW w:w="3399" w:type="dxa"/>
          </w:tcPr>
          <w:p w14:paraId="52A5EC19"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While advocating action research as a vehicle to validate „teachers‟ personal, professional and political knowledge‟ Gore and Zeichner (1995: 209) challenge the claim that it necessarily provides a voice for teachers as there is „a sense in which the „scientific‟ mask of action research, of social research generally, can be seen to devalue what teachers know and ways in which they have traditionally practised their work‟. </w:t>
            </w:r>
          </w:p>
          <w:p w14:paraId="52A5EC1A" w14:textId="77777777" w:rsidR="001142E9" w:rsidRDefault="001142E9">
            <w:pPr>
              <w:spacing w:after="0" w:line="240" w:lineRule="auto"/>
              <w:rPr>
                <w:rFonts w:ascii="Arial" w:hAnsi="Arial" w:cs="Arial"/>
                <w:color w:val="000000"/>
                <w:sz w:val="22"/>
                <w:szCs w:val="22"/>
              </w:rPr>
            </w:pPr>
          </w:p>
          <w:p w14:paraId="52A5EC1B" w14:textId="77777777" w:rsidR="001142E9" w:rsidRDefault="001142E9">
            <w:pPr>
              <w:spacing w:after="0" w:line="240" w:lineRule="auto"/>
              <w:rPr>
                <w:rFonts w:ascii="Arial" w:hAnsi="Arial" w:cs="Arial"/>
                <w:color w:val="000000"/>
                <w:sz w:val="22"/>
                <w:szCs w:val="22"/>
              </w:rPr>
            </w:pPr>
          </w:p>
        </w:tc>
        <w:tc>
          <w:tcPr>
            <w:tcW w:w="1960" w:type="dxa"/>
          </w:tcPr>
          <w:p w14:paraId="52A5EC1C" w14:textId="77777777" w:rsidR="001142E9" w:rsidRDefault="002B3BB7">
            <w:pPr>
              <w:spacing w:after="0" w:line="240" w:lineRule="auto"/>
              <w:rPr>
                <w:rFonts w:ascii="Arial" w:hAnsi="Arial" w:cs="Arial"/>
                <w:sz w:val="22"/>
                <w:szCs w:val="22"/>
              </w:rPr>
            </w:pPr>
            <w:r>
              <w:rPr>
                <w:rFonts w:ascii="Arial" w:eastAsia="Aptos" w:hAnsi="Arial" w:cs="Arial"/>
                <w:sz w:val="22"/>
                <w:szCs w:val="22"/>
              </w:rPr>
              <w:t>Close-verbatim; identical references (Gore and Zeichner); some minor paraphrase</w:t>
            </w:r>
          </w:p>
        </w:tc>
        <w:tc>
          <w:tcPr>
            <w:tcW w:w="2987" w:type="dxa"/>
          </w:tcPr>
          <w:p w14:paraId="52A5EC1D" w14:textId="77777777" w:rsidR="001142E9" w:rsidRDefault="002B3BB7">
            <w:pPr>
              <w:spacing w:after="0" w:line="240" w:lineRule="auto"/>
              <w:rPr>
                <w:rFonts w:ascii="Arial" w:hAnsi="Arial" w:cs="Arial"/>
                <w:sz w:val="22"/>
                <w:szCs w:val="22"/>
              </w:rPr>
            </w:pPr>
            <w:r>
              <w:rPr>
                <w:rFonts w:ascii="Arial" w:eastAsia="Aptos" w:hAnsi="Arial" w:cs="Arial"/>
                <w:sz w:val="22"/>
                <w:szCs w:val="22"/>
              </w:rPr>
              <w:t>Minor word substitution as the end of passage include ‘effects and contradicts’ for ‘devalue’; ‘traditional practice’ for ‘traditionally practised their work’</w:t>
            </w:r>
          </w:p>
        </w:tc>
      </w:tr>
      <w:tr w:rsidR="001142E9" w14:paraId="52A5EC27" w14:textId="77777777">
        <w:tc>
          <w:tcPr>
            <w:tcW w:w="881" w:type="dxa"/>
          </w:tcPr>
          <w:p w14:paraId="52A5EC1F" w14:textId="77777777" w:rsidR="001142E9" w:rsidRDefault="002B3BB7">
            <w:pPr>
              <w:spacing w:after="0" w:line="240" w:lineRule="auto"/>
              <w:rPr>
                <w:rFonts w:ascii="Arial" w:hAnsi="Arial" w:cs="Arial"/>
                <w:sz w:val="22"/>
                <w:szCs w:val="22"/>
              </w:rPr>
            </w:pPr>
            <w:r>
              <w:rPr>
                <w:rFonts w:ascii="Arial" w:eastAsia="Aptos" w:hAnsi="Arial" w:cs="Arial"/>
                <w:sz w:val="22"/>
                <w:szCs w:val="22"/>
              </w:rPr>
              <w:t xml:space="preserve">62 </w:t>
            </w:r>
          </w:p>
        </w:tc>
        <w:tc>
          <w:tcPr>
            <w:tcW w:w="1328" w:type="dxa"/>
          </w:tcPr>
          <w:p w14:paraId="52A5EC20" w14:textId="77777777" w:rsidR="001142E9" w:rsidRDefault="002B3BB7">
            <w:pPr>
              <w:spacing w:after="0" w:line="240" w:lineRule="auto"/>
              <w:rPr>
                <w:rFonts w:ascii="Arial" w:hAnsi="Arial" w:cs="Arial"/>
                <w:sz w:val="22"/>
                <w:szCs w:val="22"/>
              </w:rPr>
            </w:pPr>
            <w:r>
              <w:rPr>
                <w:rFonts w:ascii="Arial" w:eastAsia="Aptos" w:hAnsi="Arial" w:cs="Arial"/>
                <w:sz w:val="22"/>
                <w:szCs w:val="22"/>
              </w:rPr>
              <w:t>44</w:t>
            </w:r>
          </w:p>
        </w:tc>
        <w:tc>
          <w:tcPr>
            <w:tcW w:w="3392" w:type="dxa"/>
          </w:tcPr>
          <w:p w14:paraId="52A5EC21"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For example, Cochran-Smith and Lytle (1993: 304) identify a number of obstacles which need to be addressed before teachers can be expected to engage in research. For example, schools where inquiring and collaborative cultures are not prevalent for teachers, in addition to institutions that adopt a technical view of knowledge for teaching, and finally, schools that generally have no affinity for education research. </w:t>
            </w:r>
          </w:p>
          <w:p w14:paraId="52A5EC22" w14:textId="77777777" w:rsidR="001142E9" w:rsidRDefault="001142E9">
            <w:pPr>
              <w:spacing w:after="0" w:line="240" w:lineRule="auto"/>
              <w:rPr>
                <w:rFonts w:ascii="Arial" w:hAnsi="Arial" w:cs="Arial"/>
                <w:color w:val="000000"/>
                <w:sz w:val="22"/>
                <w:szCs w:val="22"/>
              </w:rPr>
            </w:pPr>
          </w:p>
        </w:tc>
        <w:tc>
          <w:tcPr>
            <w:tcW w:w="3399" w:type="dxa"/>
          </w:tcPr>
          <w:p w14:paraId="52A5EC23"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For example, Cochran-Smith and Lytle (1993: 304) identify a number of obstacles which need to be addressed before teachers can be expected to engage in research: „teacher isolation, a school culture that works against raising questions, a technical view of knowledge for teaching, and the negative reputation of education research‟. </w:t>
            </w:r>
          </w:p>
          <w:p w14:paraId="52A5EC24" w14:textId="77777777" w:rsidR="001142E9" w:rsidRDefault="001142E9">
            <w:pPr>
              <w:spacing w:after="0" w:line="240" w:lineRule="auto"/>
              <w:rPr>
                <w:rFonts w:ascii="Arial" w:hAnsi="Arial" w:cs="Arial"/>
                <w:color w:val="000000"/>
                <w:sz w:val="22"/>
                <w:szCs w:val="22"/>
              </w:rPr>
            </w:pPr>
          </w:p>
        </w:tc>
        <w:tc>
          <w:tcPr>
            <w:tcW w:w="1960" w:type="dxa"/>
          </w:tcPr>
          <w:p w14:paraId="52A5EC25" w14:textId="77777777" w:rsidR="001142E9" w:rsidRDefault="002B3BB7">
            <w:pPr>
              <w:spacing w:after="0" w:line="240" w:lineRule="auto"/>
              <w:rPr>
                <w:rFonts w:ascii="Arial" w:hAnsi="Arial" w:cs="Arial"/>
                <w:sz w:val="22"/>
                <w:szCs w:val="22"/>
              </w:rPr>
            </w:pPr>
            <w:r>
              <w:rPr>
                <w:rFonts w:ascii="Arial" w:eastAsia="Aptos" w:hAnsi="Arial" w:cs="Arial"/>
                <w:sz w:val="22"/>
                <w:szCs w:val="22"/>
              </w:rPr>
              <w:t>Verbatim; followed by paraphrase</w:t>
            </w:r>
          </w:p>
        </w:tc>
        <w:tc>
          <w:tcPr>
            <w:tcW w:w="2987" w:type="dxa"/>
          </w:tcPr>
          <w:p w14:paraId="52A5EC26" w14:textId="77777777" w:rsidR="001142E9" w:rsidRDefault="002B3BB7">
            <w:pPr>
              <w:spacing w:after="0" w:line="240" w:lineRule="auto"/>
              <w:rPr>
                <w:rFonts w:ascii="Arial" w:hAnsi="Arial" w:cs="Arial"/>
                <w:sz w:val="22"/>
                <w:szCs w:val="22"/>
              </w:rPr>
            </w:pPr>
            <w:r>
              <w:rPr>
                <w:rFonts w:ascii="Arial" w:eastAsia="Aptos" w:hAnsi="Arial" w:cs="Arial"/>
                <w:sz w:val="22"/>
                <w:szCs w:val="22"/>
              </w:rPr>
              <w:t>Verbatim until ‘engage in research’. Arday inserts ‘For example schools where inquiring and collaborative cultures are not prevalent for teachers, in addition to institutions that adopt’; return to verbatim</w:t>
            </w:r>
          </w:p>
        </w:tc>
      </w:tr>
      <w:tr w:rsidR="001142E9" w14:paraId="52A5EC2F" w14:textId="77777777">
        <w:tc>
          <w:tcPr>
            <w:tcW w:w="881" w:type="dxa"/>
          </w:tcPr>
          <w:p w14:paraId="52A5EC28" w14:textId="77777777" w:rsidR="001142E9" w:rsidRDefault="002B3BB7">
            <w:pPr>
              <w:spacing w:after="0" w:line="240" w:lineRule="auto"/>
              <w:rPr>
                <w:rFonts w:ascii="Arial" w:hAnsi="Arial" w:cs="Arial"/>
                <w:sz w:val="22"/>
                <w:szCs w:val="22"/>
              </w:rPr>
            </w:pPr>
            <w:r>
              <w:rPr>
                <w:rFonts w:ascii="Arial" w:eastAsia="Aptos" w:hAnsi="Arial" w:cs="Arial"/>
                <w:sz w:val="22"/>
                <w:szCs w:val="22"/>
              </w:rPr>
              <w:t>62</w:t>
            </w:r>
          </w:p>
        </w:tc>
        <w:tc>
          <w:tcPr>
            <w:tcW w:w="1328" w:type="dxa"/>
          </w:tcPr>
          <w:p w14:paraId="52A5EC29" w14:textId="77777777" w:rsidR="001142E9" w:rsidRDefault="002B3BB7">
            <w:pPr>
              <w:spacing w:after="0" w:line="240" w:lineRule="auto"/>
              <w:rPr>
                <w:rFonts w:ascii="Arial" w:hAnsi="Arial" w:cs="Arial"/>
                <w:sz w:val="22"/>
                <w:szCs w:val="22"/>
              </w:rPr>
            </w:pPr>
            <w:r>
              <w:rPr>
                <w:rFonts w:ascii="Arial" w:eastAsia="Aptos" w:hAnsi="Arial" w:cs="Arial"/>
                <w:sz w:val="22"/>
                <w:szCs w:val="22"/>
              </w:rPr>
              <w:t>44-45</w:t>
            </w:r>
          </w:p>
        </w:tc>
        <w:tc>
          <w:tcPr>
            <w:tcW w:w="3392" w:type="dxa"/>
          </w:tcPr>
          <w:p w14:paraId="52A5EC2A"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Furthermore, McTaggert et al., (1997) found action research, to be considered a difficult process for teachers to learn and sustain due to its complexity and lack of congruence with the chaotic nature of the classroom experience. Zwozdiak-Myers (2009) contends that it is essential to be mindful that such factors may also significantly influence the research experiences of some student teachers featured in such studies.</w:t>
            </w:r>
          </w:p>
          <w:p w14:paraId="52A5EC2B" w14:textId="77777777" w:rsidR="001142E9" w:rsidRDefault="001142E9">
            <w:pPr>
              <w:spacing w:after="0" w:line="240" w:lineRule="auto"/>
              <w:rPr>
                <w:rFonts w:ascii="Arial" w:hAnsi="Arial" w:cs="Arial"/>
                <w:color w:val="000000"/>
                <w:sz w:val="22"/>
                <w:szCs w:val="22"/>
              </w:rPr>
            </w:pPr>
          </w:p>
        </w:tc>
        <w:tc>
          <w:tcPr>
            <w:tcW w:w="3399" w:type="dxa"/>
          </w:tcPr>
          <w:p w14:paraId="52A5EC2C"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Also, McTaggert et al, (1997) found action research was a difficult process for teachers to learn and sustain due to its complexity and lack of congruence with the hectic nature of life in the classroom. It is important to be mindful that such factors might also influence the research experiences of some student teachers featured in this study</w:t>
            </w:r>
          </w:p>
        </w:tc>
        <w:tc>
          <w:tcPr>
            <w:tcW w:w="1960" w:type="dxa"/>
          </w:tcPr>
          <w:p w14:paraId="52A5EC2D" w14:textId="77777777" w:rsidR="001142E9" w:rsidRDefault="002B3BB7">
            <w:pPr>
              <w:spacing w:after="0" w:line="240" w:lineRule="auto"/>
              <w:rPr>
                <w:rFonts w:ascii="Arial" w:hAnsi="Arial" w:cs="Arial"/>
                <w:sz w:val="22"/>
                <w:szCs w:val="22"/>
              </w:rPr>
            </w:pPr>
            <w:r>
              <w:rPr>
                <w:rFonts w:ascii="Arial" w:eastAsia="Aptos" w:hAnsi="Arial" w:cs="Arial"/>
                <w:sz w:val="22"/>
                <w:szCs w:val="22"/>
              </w:rPr>
              <w:t>Verbatim, including identical literature cited. Z-M reference to thesis, followed by verbatim copying</w:t>
            </w:r>
          </w:p>
        </w:tc>
        <w:tc>
          <w:tcPr>
            <w:tcW w:w="2987" w:type="dxa"/>
          </w:tcPr>
          <w:p w14:paraId="52A5EC2E" w14:textId="77777777" w:rsidR="001142E9" w:rsidRDefault="002B3BB7">
            <w:pPr>
              <w:spacing w:after="0" w:line="240" w:lineRule="auto"/>
              <w:rPr>
                <w:rFonts w:ascii="Arial" w:hAnsi="Arial" w:cs="Arial"/>
                <w:sz w:val="22"/>
                <w:szCs w:val="22"/>
              </w:rPr>
            </w:pPr>
            <w:r>
              <w:rPr>
                <w:rFonts w:ascii="Arial" w:eastAsia="Aptos" w:hAnsi="Arial" w:cs="Arial"/>
                <w:sz w:val="22"/>
                <w:szCs w:val="22"/>
              </w:rPr>
              <w:t>Note same words: ‘congruence’; ‘due to its complexity’</w:t>
            </w:r>
          </w:p>
        </w:tc>
      </w:tr>
      <w:tr w:rsidR="001142E9" w14:paraId="52A5EC3A" w14:textId="77777777">
        <w:tc>
          <w:tcPr>
            <w:tcW w:w="881" w:type="dxa"/>
          </w:tcPr>
          <w:p w14:paraId="52A5EC30" w14:textId="77777777" w:rsidR="001142E9" w:rsidRDefault="002B3BB7">
            <w:pPr>
              <w:spacing w:after="0" w:line="240" w:lineRule="auto"/>
              <w:rPr>
                <w:rFonts w:ascii="Arial" w:hAnsi="Arial" w:cs="Arial"/>
                <w:sz w:val="22"/>
                <w:szCs w:val="22"/>
              </w:rPr>
            </w:pPr>
            <w:r>
              <w:rPr>
                <w:rFonts w:ascii="Arial" w:eastAsia="Aptos" w:hAnsi="Arial" w:cs="Arial"/>
                <w:sz w:val="22"/>
                <w:szCs w:val="22"/>
              </w:rPr>
              <w:t>62</w:t>
            </w:r>
          </w:p>
        </w:tc>
        <w:tc>
          <w:tcPr>
            <w:tcW w:w="1328" w:type="dxa"/>
          </w:tcPr>
          <w:p w14:paraId="52A5EC31" w14:textId="77777777" w:rsidR="001142E9" w:rsidRDefault="002B3BB7">
            <w:pPr>
              <w:spacing w:after="0" w:line="240" w:lineRule="auto"/>
              <w:rPr>
                <w:rFonts w:ascii="Arial" w:hAnsi="Arial" w:cs="Arial"/>
                <w:sz w:val="22"/>
                <w:szCs w:val="22"/>
              </w:rPr>
            </w:pPr>
            <w:r>
              <w:rPr>
                <w:rFonts w:ascii="Arial" w:eastAsia="Aptos" w:hAnsi="Arial" w:cs="Arial"/>
                <w:sz w:val="22"/>
                <w:szCs w:val="22"/>
              </w:rPr>
              <w:t>45</w:t>
            </w:r>
          </w:p>
        </w:tc>
        <w:tc>
          <w:tcPr>
            <w:tcW w:w="3392" w:type="dxa"/>
          </w:tcPr>
          <w:p w14:paraId="52A5EC32"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Within educational discourse, action research has become a recurrent theme, as has the concern to improve and develop professional practice from within the teaching profession (McNiff et al., 2003; Pollard, 2011). This concern identifies with the conception that the purpose of the research process is to generate new insights into teaching and learning to improve practice for both practitioners and learners. </w:t>
            </w:r>
          </w:p>
          <w:p w14:paraId="52A5EC33" w14:textId="77777777" w:rsidR="001142E9" w:rsidRDefault="001142E9">
            <w:pPr>
              <w:spacing w:after="0" w:line="240" w:lineRule="auto"/>
              <w:rPr>
                <w:rFonts w:ascii="Arial" w:hAnsi="Arial" w:cs="Arial"/>
                <w:color w:val="000000"/>
                <w:sz w:val="22"/>
                <w:szCs w:val="22"/>
              </w:rPr>
            </w:pPr>
          </w:p>
        </w:tc>
        <w:tc>
          <w:tcPr>
            <w:tcW w:w="3399" w:type="dxa"/>
          </w:tcPr>
          <w:p w14:paraId="52A5EC34"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Within educational discourse, action research has become a recurrent theme, as has the concern to improve and develop professional practice from within the profession. This implies ownership of the research process to generate new insights into teaching and learning to improve practice by those most likely to be affected by its outcome. </w:t>
            </w:r>
          </w:p>
          <w:p w14:paraId="52A5EC35" w14:textId="77777777" w:rsidR="001142E9" w:rsidRDefault="001142E9">
            <w:pPr>
              <w:spacing w:after="0" w:line="240" w:lineRule="auto"/>
              <w:rPr>
                <w:rFonts w:ascii="Arial" w:hAnsi="Arial" w:cs="Arial"/>
                <w:color w:val="000000"/>
                <w:sz w:val="22"/>
                <w:szCs w:val="22"/>
              </w:rPr>
            </w:pPr>
          </w:p>
        </w:tc>
        <w:tc>
          <w:tcPr>
            <w:tcW w:w="1960" w:type="dxa"/>
          </w:tcPr>
          <w:p w14:paraId="52A5EC36" w14:textId="77777777" w:rsidR="001142E9" w:rsidRDefault="002B3BB7">
            <w:pPr>
              <w:spacing w:after="0" w:line="240" w:lineRule="auto"/>
              <w:rPr>
                <w:rFonts w:ascii="Arial" w:hAnsi="Arial" w:cs="Arial"/>
                <w:sz w:val="22"/>
                <w:szCs w:val="22"/>
              </w:rPr>
            </w:pPr>
            <w:r>
              <w:rPr>
                <w:rFonts w:ascii="Arial" w:eastAsia="Aptos" w:hAnsi="Arial" w:cs="Arial"/>
                <w:sz w:val="22"/>
                <w:szCs w:val="22"/>
              </w:rPr>
              <w:t>Verbatim, with insertion of some references; followed by paraphrase</w:t>
            </w:r>
          </w:p>
        </w:tc>
        <w:tc>
          <w:tcPr>
            <w:tcW w:w="2987" w:type="dxa"/>
          </w:tcPr>
          <w:p w14:paraId="52A5EC37" w14:textId="77777777" w:rsidR="001142E9" w:rsidRDefault="002B3BB7">
            <w:pPr>
              <w:spacing w:after="0" w:line="240" w:lineRule="auto"/>
              <w:rPr>
                <w:rFonts w:ascii="Arial" w:hAnsi="Arial" w:cs="Arial"/>
                <w:sz w:val="22"/>
                <w:szCs w:val="22"/>
              </w:rPr>
            </w:pPr>
            <w:r>
              <w:rPr>
                <w:rFonts w:ascii="Arial" w:eastAsia="Aptos" w:hAnsi="Arial" w:cs="Arial"/>
                <w:sz w:val="22"/>
                <w:szCs w:val="22"/>
              </w:rPr>
              <w:t>Insertion of references to McNiff and Pollard</w:t>
            </w:r>
          </w:p>
          <w:p w14:paraId="52A5EC38" w14:textId="77777777" w:rsidR="001142E9" w:rsidRDefault="001142E9">
            <w:pPr>
              <w:spacing w:after="0" w:line="240" w:lineRule="auto"/>
              <w:rPr>
                <w:rFonts w:ascii="Arial" w:hAnsi="Arial" w:cs="Arial"/>
                <w:sz w:val="22"/>
                <w:szCs w:val="22"/>
              </w:rPr>
            </w:pPr>
          </w:p>
          <w:p w14:paraId="52A5EC39" w14:textId="77777777" w:rsidR="001142E9" w:rsidRDefault="002B3BB7">
            <w:pPr>
              <w:spacing w:after="0" w:line="240" w:lineRule="auto"/>
              <w:rPr>
                <w:rFonts w:ascii="Arial" w:hAnsi="Arial" w:cs="Arial"/>
                <w:color w:val="000000"/>
                <w:sz w:val="22"/>
                <w:szCs w:val="22"/>
              </w:rPr>
            </w:pPr>
            <w:r>
              <w:rPr>
                <w:rFonts w:ascii="Arial" w:eastAsia="Aptos" w:hAnsi="Arial" w:cs="Arial"/>
                <w:sz w:val="22"/>
                <w:szCs w:val="22"/>
              </w:rPr>
              <w:t>Paraphrases: ‘</w:t>
            </w:r>
            <w:r>
              <w:rPr>
                <w:rFonts w:ascii="Arial" w:eastAsia="Aptos" w:hAnsi="Arial" w:cs="Arial"/>
                <w:color w:val="000000"/>
                <w:sz w:val="22"/>
                <w:szCs w:val="22"/>
              </w:rPr>
              <w:t>those most likely to be affected by its outcome’ becomes ‘both practitioners and learners. ‘</w:t>
            </w:r>
          </w:p>
        </w:tc>
      </w:tr>
      <w:tr w:rsidR="001142E9" w14:paraId="52A5EC43" w14:textId="77777777">
        <w:tc>
          <w:tcPr>
            <w:tcW w:w="881" w:type="dxa"/>
          </w:tcPr>
          <w:p w14:paraId="52A5EC3B" w14:textId="77777777" w:rsidR="001142E9" w:rsidRDefault="002B3BB7">
            <w:pPr>
              <w:spacing w:after="0" w:line="240" w:lineRule="auto"/>
              <w:rPr>
                <w:rFonts w:ascii="Arial" w:hAnsi="Arial" w:cs="Arial"/>
                <w:sz w:val="22"/>
                <w:szCs w:val="22"/>
              </w:rPr>
            </w:pPr>
            <w:r>
              <w:rPr>
                <w:rFonts w:ascii="Arial" w:eastAsia="Aptos" w:hAnsi="Arial" w:cs="Arial"/>
                <w:sz w:val="22"/>
                <w:szCs w:val="22"/>
              </w:rPr>
              <w:t>62-63</w:t>
            </w:r>
          </w:p>
        </w:tc>
        <w:tc>
          <w:tcPr>
            <w:tcW w:w="1328" w:type="dxa"/>
          </w:tcPr>
          <w:p w14:paraId="52A5EC3C" w14:textId="77777777" w:rsidR="001142E9" w:rsidRDefault="002B3BB7">
            <w:pPr>
              <w:spacing w:after="0" w:line="240" w:lineRule="auto"/>
              <w:rPr>
                <w:rFonts w:ascii="Arial" w:hAnsi="Arial" w:cs="Arial"/>
                <w:sz w:val="22"/>
                <w:szCs w:val="22"/>
              </w:rPr>
            </w:pPr>
            <w:r>
              <w:rPr>
                <w:rFonts w:ascii="Arial" w:eastAsia="Aptos" w:hAnsi="Arial" w:cs="Arial"/>
                <w:sz w:val="22"/>
                <w:szCs w:val="22"/>
              </w:rPr>
              <w:t>45</w:t>
            </w:r>
          </w:p>
        </w:tc>
        <w:tc>
          <w:tcPr>
            <w:tcW w:w="3392" w:type="dxa"/>
          </w:tcPr>
          <w:p w14:paraId="52A5EC3D"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Price (2001: 44) suggests action research is simultaneously an individual and collaborative project and Kemmis and McTaggart (1982) argue that such engagement allows groups of people to organise the conditions under which they construct learning from their own experiences and in turn disseminate these findings to others immersed within this context (Bartlett and Burton, 2012; Bartlett and Leask, 2005: 298). </w:t>
            </w:r>
          </w:p>
        </w:tc>
        <w:tc>
          <w:tcPr>
            <w:tcW w:w="3399" w:type="dxa"/>
          </w:tcPr>
          <w:p w14:paraId="52A5EC3E"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Price (2001: 44) suggests action research is simultaneously an individual and collaborative project and Kemmis and McTaggart (1982; 7) argue that “groups of people can organise the conditions under which they can learn from their own experience, and make this experience accessible to others‟. </w:t>
            </w:r>
          </w:p>
          <w:p w14:paraId="52A5EC3F" w14:textId="77777777" w:rsidR="001142E9" w:rsidRDefault="001142E9">
            <w:pPr>
              <w:spacing w:after="0" w:line="240" w:lineRule="auto"/>
              <w:rPr>
                <w:rFonts w:ascii="Arial" w:hAnsi="Arial" w:cs="Arial"/>
                <w:color w:val="000000"/>
                <w:sz w:val="22"/>
                <w:szCs w:val="22"/>
              </w:rPr>
            </w:pPr>
          </w:p>
          <w:p w14:paraId="52A5EC40" w14:textId="77777777" w:rsidR="001142E9" w:rsidRDefault="001142E9">
            <w:pPr>
              <w:spacing w:after="0" w:line="240" w:lineRule="auto"/>
              <w:rPr>
                <w:rFonts w:ascii="Arial" w:hAnsi="Arial" w:cs="Arial"/>
                <w:color w:val="000000"/>
                <w:sz w:val="22"/>
                <w:szCs w:val="22"/>
              </w:rPr>
            </w:pPr>
          </w:p>
        </w:tc>
        <w:tc>
          <w:tcPr>
            <w:tcW w:w="1960" w:type="dxa"/>
          </w:tcPr>
          <w:p w14:paraId="52A5EC41" w14:textId="77777777" w:rsidR="001142E9" w:rsidRDefault="002B3BB7">
            <w:pPr>
              <w:spacing w:after="0" w:line="240" w:lineRule="auto"/>
              <w:rPr>
                <w:rFonts w:ascii="Arial" w:hAnsi="Arial" w:cs="Arial"/>
                <w:sz w:val="22"/>
                <w:szCs w:val="22"/>
              </w:rPr>
            </w:pPr>
            <w:r>
              <w:rPr>
                <w:rFonts w:ascii="Arial" w:eastAsia="Aptos" w:hAnsi="Arial" w:cs="Arial"/>
                <w:sz w:val="22"/>
                <w:szCs w:val="22"/>
              </w:rPr>
              <w:t>Verbatim text &amp; scaffold, extended riff from ‘catalyse’, followed by references</w:t>
            </w:r>
          </w:p>
        </w:tc>
        <w:tc>
          <w:tcPr>
            <w:tcW w:w="2987" w:type="dxa"/>
          </w:tcPr>
          <w:p w14:paraId="52A5EC42" w14:textId="77777777" w:rsidR="001142E9" w:rsidRDefault="002B3BB7">
            <w:pPr>
              <w:spacing w:after="0" w:line="240" w:lineRule="auto"/>
              <w:rPr>
                <w:rFonts w:ascii="Arial" w:hAnsi="Arial" w:cs="Arial"/>
                <w:sz w:val="22"/>
                <w:szCs w:val="22"/>
              </w:rPr>
            </w:pPr>
            <w:r>
              <w:rPr>
                <w:rFonts w:ascii="Arial" w:eastAsia="Aptos" w:hAnsi="Arial" w:cs="Arial"/>
                <w:sz w:val="22"/>
                <w:szCs w:val="22"/>
              </w:rPr>
              <w:t>Identical literature list: Kemmis, McTaggart, Price; insertion of other references. Paraphrase includes: ‘make this accessible to others’ becomes ‘disseminate these findings to others’</w:t>
            </w:r>
          </w:p>
        </w:tc>
      </w:tr>
      <w:tr w:rsidR="001142E9" w14:paraId="52A5EC4C" w14:textId="77777777">
        <w:tc>
          <w:tcPr>
            <w:tcW w:w="881" w:type="dxa"/>
          </w:tcPr>
          <w:p w14:paraId="52A5EC44"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63</w:t>
            </w:r>
          </w:p>
        </w:tc>
        <w:tc>
          <w:tcPr>
            <w:tcW w:w="1328" w:type="dxa"/>
          </w:tcPr>
          <w:p w14:paraId="52A5EC45"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45</w:t>
            </w:r>
          </w:p>
        </w:tc>
        <w:tc>
          <w:tcPr>
            <w:tcW w:w="3392" w:type="dxa"/>
          </w:tcPr>
          <w:p w14:paraId="52A5EC46" w14:textId="77777777" w:rsidR="001142E9" w:rsidRDefault="002B3BB7">
            <w:pPr>
              <w:contextualSpacing/>
              <w:rPr>
                <w:rFonts w:ascii="Arial" w:hAnsi="Arial" w:cs="Arial"/>
                <w:sz w:val="22"/>
                <w:szCs w:val="22"/>
              </w:rPr>
            </w:pPr>
            <w:r>
              <w:rPr>
                <w:rFonts w:ascii="Arial" w:eastAsia="Aptos" w:hAnsi="Arial" w:cs="Arial"/>
                <w:sz w:val="22"/>
                <w:szCs w:val="22"/>
              </w:rPr>
              <w:t xml:space="preserve">A specific purpose of engaging in collaborative action research is to construct and de-construct knowledge about problems inherent from experience, which arise from professional practice to facilitate change and improvement for improved teaching (Carr and Kemmis, 1986; Elliott, 1991; Lewin, 1946; McKernan, 1991). </w:t>
            </w:r>
          </w:p>
          <w:p w14:paraId="52A5EC47" w14:textId="77777777" w:rsidR="001142E9" w:rsidRDefault="001142E9">
            <w:pPr>
              <w:spacing w:after="0" w:line="240" w:lineRule="auto"/>
              <w:contextualSpacing/>
              <w:rPr>
                <w:rFonts w:ascii="Arial" w:hAnsi="Arial" w:cs="Arial"/>
                <w:color w:val="000000"/>
                <w:sz w:val="22"/>
                <w:szCs w:val="22"/>
              </w:rPr>
            </w:pPr>
          </w:p>
        </w:tc>
        <w:tc>
          <w:tcPr>
            <w:tcW w:w="3399" w:type="dxa"/>
          </w:tcPr>
          <w:p w14:paraId="52A5EC48" w14:textId="77777777" w:rsidR="001142E9" w:rsidRDefault="001142E9">
            <w:pPr>
              <w:contextualSpacing/>
              <w:rPr>
                <w:rFonts w:ascii="Arial" w:hAnsi="Arial" w:cs="Arial"/>
                <w:sz w:val="22"/>
                <w:szCs w:val="22"/>
              </w:rPr>
            </w:pPr>
          </w:p>
          <w:p w14:paraId="52A5EC49"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One aim of collaborative action research is to construct knowledge about issues, which arise from professional practice to facilitate change and improvement (Lewin, 1946; Carr and Kemmis, 1986; Elliott, 1991</w:t>
            </w:r>
          </w:p>
        </w:tc>
        <w:tc>
          <w:tcPr>
            <w:tcW w:w="1960" w:type="dxa"/>
          </w:tcPr>
          <w:p w14:paraId="52A5EC4A"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Close paraphrase, followed by similar literature list</w:t>
            </w:r>
          </w:p>
        </w:tc>
        <w:tc>
          <w:tcPr>
            <w:tcW w:w="2987" w:type="dxa"/>
          </w:tcPr>
          <w:p w14:paraId="52A5EC4B"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‘construct’ becomes ‘deconstruct’; adds McKernan to literature list which is ordered differently to Z-M</w:t>
            </w:r>
          </w:p>
        </w:tc>
      </w:tr>
      <w:tr w:rsidR="001142E9" w14:paraId="52A5EC55" w14:textId="77777777">
        <w:tc>
          <w:tcPr>
            <w:tcW w:w="881" w:type="dxa"/>
          </w:tcPr>
          <w:p w14:paraId="52A5EC4D"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63</w:t>
            </w:r>
          </w:p>
        </w:tc>
        <w:tc>
          <w:tcPr>
            <w:tcW w:w="1328" w:type="dxa"/>
          </w:tcPr>
          <w:p w14:paraId="52A5EC4E"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45</w:t>
            </w:r>
          </w:p>
        </w:tc>
        <w:tc>
          <w:tcPr>
            <w:tcW w:w="3392" w:type="dxa"/>
          </w:tcPr>
          <w:p w14:paraId="52A5EC4F" w14:textId="77777777" w:rsidR="001142E9" w:rsidRDefault="002B3BB7">
            <w:pPr>
              <w:contextualSpacing/>
              <w:rPr>
                <w:rFonts w:ascii="Arial" w:hAnsi="Arial" w:cs="Arial"/>
                <w:sz w:val="22"/>
                <w:szCs w:val="22"/>
              </w:rPr>
            </w:pPr>
            <w:r>
              <w:rPr>
                <w:rFonts w:ascii="Arial" w:eastAsia="Aptos" w:hAnsi="Arial" w:cs="Arial"/>
                <w:sz w:val="22"/>
                <w:szCs w:val="22"/>
              </w:rPr>
              <w:t xml:space="preserve">However, the effectiveness of active participation by student teachers within the research process underpins to a significant extent, the success with engaging and working with others within the process of collaboration (Gray, 2010: 347). </w:t>
            </w:r>
          </w:p>
          <w:p w14:paraId="52A5EC50" w14:textId="77777777" w:rsidR="001142E9" w:rsidRDefault="001142E9">
            <w:pPr>
              <w:spacing w:after="0" w:line="240" w:lineRule="auto"/>
              <w:contextualSpacing/>
              <w:rPr>
                <w:rFonts w:ascii="Arial" w:hAnsi="Arial" w:cs="Arial"/>
                <w:color w:val="000000"/>
                <w:sz w:val="22"/>
                <w:szCs w:val="22"/>
              </w:rPr>
            </w:pPr>
          </w:p>
        </w:tc>
        <w:tc>
          <w:tcPr>
            <w:tcW w:w="3399" w:type="dxa"/>
          </w:tcPr>
          <w:p w14:paraId="52A5EC51" w14:textId="77777777" w:rsidR="001142E9" w:rsidRDefault="002B3BB7">
            <w:pPr>
              <w:contextualSpacing/>
              <w:rPr>
                <w:rFonts w:ascii="Arial" w:hAnsi="Arial" w:cs="Arial"/>
                <w:sz w:val="22"/>
                <w:szCs w:val="22"/>
              </w:rPr>
            </w:pPr>
            <w:r>
              <w:rPr>
                <w:rFonts w:ascii="Arial" w:eastAsia="Aptos" w:hAnsi="Arial" w:cs="Arial"/>
                <w:sz w:val="22"/>
                <w:szCs w:val="22"/>
              </w:rPr>
              <w:t xml:space="preserve">However, the effectiveness of active participation by practitioners in the research process will, in large measure, depend upon “success with working with other people‟ (Gray, 2004: 377). </w:t>
            </w:r>
          </w:p>
          <w:p w14:paraId="52A5EC52" w14:textId="77777777" w:rsidR="001142E9" w:rsidRDefault="001142E9">
            <w:pPr>
              <w:spacing w:after="0" w:line="240" w:lineRule="auto"/>
              <w:contextualSpacing/>
              <w:rPr>
                <w:rFonts w:ascii="Arial" w:hAnsi="Arial" w:cs="Arial"/>
                <w:color w:val="000000"/>
                <w:sz w:val="22"/>
                <w:szCs w:val="22"/>
              </w:rPr>
            </w:pPr>
          </w:p>
        </w:tc>
        <w:tc>
          <w:tcPr>
            <w:tcW w:w="1960" w:type="dxa"/>
          </w:tcPr>
          <w:p w14:paraId="52A5EC53"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Verbatim text, followed by close paraphrase; same author cited afterwards</w:t>
            </w:r>
          </w:p>
        </w:tc>
        <w:tc>
          <w:tcPr>
            <w:tcW w:w="2987" w:type="dxa"/>
          </w:tcPr>
          <w:p w14:paraId="52A5EC54"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w:t>
            </w:r>
            <w:r>
              <w:rPr>
                <w:rFonts w:ascii="Arial" w:hAnsi="Arial" w:cs="Arial"/>
                <w:sz w:val="22"/>
                <w:szCs w:val="22"/>
              </w:rPr>
              <w:t xml:space="preserve">In large measure’ in Z-M is replaced by ‘to a significant extent’ in Arday; reference to Gray’s 2010 essay in Arday while Z-M refers to 2004 book </w:t>
            </w:r>
          </w:p>
        </w:tc>
      </w:tr>
      <w:tr w:rsidR="001142E9" w14:paraId="52A5EC5E" w14:textId="77777777">
        <w:tc>
          <w:tcPr>
            <w:tcW w:w="881" w:type="dxa"/>
          </w:tcPr>
          <w:p w14:paraId="52A5EC56"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63</w:t>
            </w:r>
          </w:p>
        </w:tc>
        <w:tc>
          <w:tcPr>
            <w:tcW w:w="1328" w:type="dxa"/>
          </w:tcPr>
          <w:p w14:paraId="52A5EC57"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45</w:t>
            </w:r>
          </w:p>
        </w:tc>
        <w:tc>
          <w:tcPr>
            <w:tcW w:w="3392" w:type="dxa"/>
          </w:tcPr>
          <w:p w14:paraId="52A5EC58" w14:textId="77777777" w:rsidR="001142E9" w:rsidRDefault="002B3BB7">
            <w:pPr>
              <w:contextualSpacing/>
              <w:rPr>
                <w:rFonts w:ascii="Arial" w:hAnsi="Arial" w:cs="Arial"/>
                <w:sz w:val="22"/>
                <w:szCs w:val="22"/>
              </w:rPr>
            </w:pPr>
            <w:r>
              <w:rPr>
                <w:rFonts w:ascii="Arial" w:eastAsia="Aptos" w:hAnsi="Arial" w:cs="Arial"/>
                <w:sz w:val="22"/>
                <w:szCs w:val="22"/>
              </w:rPr>
              <w:t>This implies that working with peers and fellow practitioners requires sensitivity, trust and a mutual respect for the feelings and expertise of others. Le Cornu (2005) highlights these factors as essential criterion as student teachers embrace the concept of collating knowledge concerning teaching practice as part of a collective.</w:t>
            </w:r>
          </w:p>
          <w:p w14:paraId="52A5EC59" w14:textId="77777777" w:rsidR="001142E9" w:rsidRDefault="001142E9">
            <w:pPr>
              <w:contextualSpacing/>
              <w:rPr>
                <w:rFonts w:ascii="Arial" w:hAnsi="Arial" w:cs="Arial"/>
                <w:sz w:val="22"/>
                <w:szCs w:val="22"/>
              </w:rPr>
            </w:pPr>
          </w:p>
        </w:tc>
        <w:tc>
          <w:tcPr>
            <w:tcW w:w="3399" w:type="dxa"/>
          </w:tcPr>
          <w:p w14:paraId="52A5EC5A" w14:textId="77777777" w:rsidR="001142E9" w:rsidRDefault="002B3BB7">
            <w:pPr>
              <w:contextualSpacing/>
              <w:rPr>
                <w:rFonts w:ascii="Arial" w:hAnsi="Arial" w:cs="Arial"/>
                <w:sz w:val="22"/>
                <w:szCs w:val="22"/>
              </w:rPr>
            </w:pPr>
            <w:r>
              <w:rPr>
                <w:rFonts w:ascii="Arial" w:eastAsia="Aptos" w:hAnsi="Arial" w:cs="Arial"/>
                <w:sz w:val="22"/>
                <w:szCs w:val="22"/>
              </w:rPr>
              <w:t xml:space="preserve">This implies that working with peers and fellow practitioners requires sensitivity, trust and a mutual respect for the feelings and expertise of others. </w:t>
            </w:r>
          </w:p>
          <w:p w14:paraId="52A5EC5B"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These are factors that student teachers in this study will need to embrace as they engage in research within the school environment.</w:t>
            </w:r>
          </w:p>
        </w:tc>
        <w:tc>
          <w:tcPr>
            <w:tcW w:w="1960" w:type="dxa"/>
          </w:tcPr>
          <w:p w14:paraId="52A5EC5C"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Verbatim text, with insertion of Le Cornu reference; followed by close paraphrase</w:t>
            </w:r>
          </w:p>
        </w:tc>
        <w:tc>
          <w:tcPr>
            <w:tcW w:w="2987" w:type="dxa"/>
          </w:tcPr>
          <w:p w14:paraId="52A5EC5D"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 xml:space="preserve">Le Cornu (2005); insertion of ‘essential criterion’ is start of paraphrased section </w:t>
            </w:r>
          </w:p>
        </w:tc>
      </w:tr>
      <w:tr w:rsidR="001142E9" w14:paraId="52A5EC67" w14:textId="77777777">
        <w:tc>
          <w:tcPr>
            <w:tcW w:w="881" w:type="dxa"/>
          </w:tcPr>
          <w:p w14:paraId="52A5EC5F" w14:textId="77777777" w:rsidR="001142E9" w:rsidRDefault="002B3BB7">
            <w:pPr>
              <w:spacing w:after="0" w:line="240" w:lineRule="auto"/>
              <w:rPr>
                <w:rFonts w:ascii="Arial" w:eastAsia="Aptos" w:hAnsi="Arial" w:cs="Arial"/>
                <w:sz w:val="22"/>
                <w:szCs w:val="22"/>
              </w:rPr>
            </w:pPr>
            <w:r>
              <w:rPr>
                <w:rFonts w:ascii="Arial" w:hAnsi="Arial" w:cs="Arial"/>
                <w:color w:val="000000"/>
                <w:sz w:val="22"/>
                <w:szCs w:val="22"/>
              </w:rPr>
              <w:t>63</w:t>
            </w:r>
          </w:p>
        </w:tc>
        <w:tc>
          <w:tcPr>
            <w:tcW w:w="1328" w:type="dxa"/>
          </w:tcPr>
          <w:p w14:paraId="52A5EC60" w14:textId="77777777" w:rsidR="001142E9" w:rsidRDefault="002B3BB7">
            <w:pPr>
              <w:spacing w:after="0" w:line="240" w:lineRule="auto"/>
              <w:rPr>
                <w:rFonts w:ascii="Arial" w:eastAsia="Aptos" w:hAnsi="Arial" w:cs="Arial"/>
                <w:sz w:val="22"/>
                <w:szCs w:val="22"/>
              </w:rPr>
            </w:pPr>
            <w:r>
              <w:rPr>
                <w:rFonts w:ascii="Arial" w:hAnsi="Arial" w:cs="Arial"/>
                <w:color w:val="000000"/>
                <w:sz w:val="22"/>
                <w:szCs w:val="22"/>
              </w:rPr>
              <w:t>45</w:t>
            </w:r>
          </w:p>
        </w:tc>
        <w:tc>
          <w:tcPr>
            <w:tcW w:w="3392" w:type="dxa"/>
          </w:tcPr>
          <w:p w14:paraId="52A5EC61"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Integral to such processes which involve collaborative endeavour are the goals of equity and social justice as existing practices within the school which are examined critically, evaluated and transformed (Carr and Kemmis, 1986; Cochran-Smith and Lytle, 1993; Gore and Zeichner, 1995; Noffke, 2005). </w:t>
            </w:r>
          </w:p>
          <w:p w14:paraId="52A5EC62" w14:textId="77777777" w:rsidR="001142E9" w:rsidRDefault="001142E9">
            <w:pPr>
              <w:spacing w:after="0" w:line="240" w:lineRule="auto"/>
              <w:rPr>
                <w:rFonts w:ascii="Arial" w:hAnsi="Arial" w:cs="Arial"/>
                <w:color w:val="000000"/>
                <w:sz w:val="22"/>
                <w:szCs w:val="22"/>
              </w:rPr>
            </w:pPr>
          </w:p>
        </w:tc>
        <w:tc>
          <w:tcPr>
            <w:tcW w:w="3399" w:type="dxa"/>
          </w:tcPr>
          <w:p w14:paraId="52A5EC63"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Integral to the process are the goals of equity and social justice as existing practices within the school are examined critically and transformed (Carr and Kemmis, 1986; Cochran-Smith and Lytle, 1993; Gore and Zeichner, 1995; Noffke, 1994, 2005; Noordhoff and Kleinfeld, 1990). </w:t>
            </w:r>
          </w:p>
          <w:p w14:paraId="52A5EC64" w14:textId="77777777" w:rsidR="001142E9" w:rsidRDefault="001142E9">
            <w:pPr>
              <w:spacing w:after="0" w:line="240" w:lineRule="auto"/>
              <w:rPr>
                <w:rFonts w:ascii="Arial" w:hAnsi="Arial" w:cs="Arial"/>
                <w:color w:val="000000"/>
                <w:sz w:val="22"/>
                <w:szCs w:val="22"/>
              </w:rPr>
            </w:pPr>
          </w:p>
        </w:tc>
        <w:tc>
          <w:tcPr>
            <w:tcW w:w="1960" w:type="dxa"/>
          </w:tcPr>
          <w:p w14:paraId="52A5EC65" w14:textId="77777777" w:rsidR="001142E9" w:rsidRDefault="002B3BB7">
            <w:pPr>
              <w:spacing w:after="0" w:line="240" w:lineRule="auto"/>
              <w:rPr>
                <w:rFonts w:ascii="Arial" w:eastAsia="Aptos" w:hAnsi="Arial" w:cs="Arial"/>
                <w:sz w:val="22"/>
                <w:szCs w:val="22"/>
              </w:rPr>
            </w:pPr>
            <w:r>
              <w:rPr>
                <w:rFonts w:ascii="Arial" w:hAnsi="Arial" w:cs="Arial"/>
                <w:color w:val="000000"/>
                <w:sz w:val="22"/>
                <w:szCs w:val="22"/>
              </w:rPr>
              <w:t>Near-verbatim with minor paraphrase, followed by identical literature list to Z-M.</w:t>
            </w:r>
          </w:p>
        </w:tc>
        <w:tc>
          <w:tcPr>
            <w:tcW w:w="2987" w:type="dxa"/>
          </w:tcPr>
          <w:p w14:paraId="52A5EC66" w14:textId="77777777" w:rsidR="001142E9" w:rsidRDefault="002B3BB7">
            <w:pPr>
              <w:spacing w:after="0" w:line="240" w:lineRule="auto"/>
              <w:rPr>
                <w:rFonts w:ascii="Arial" w:hAnsi="Arial" w:cs="Arial"/>
                <w:color w:val="000000"/>
                <w:sz w:val="22"/>
                <w:szCs w:val="22"/>
              </w:rPr>
            </w:pPr>
            <w:r>
              <w:rPr>
                <w:rFonts w:ascii="Arial" w:eastAsia="Aptos" w:hAnsi="Arial" w:cs="Arial"/>
                <w:sz w:val="22"/>
                <w:szCs w:val="22"/>
              </w:rPr>
              <w:t xml:space="preserve">Arday removes </w:t>
            </w:r>
            <w:r>
              <w:rPr>
                <w:rFonts w:ascii="Arial" w:eastAsia="Aptos" w:hAnsi="Arial" w:cs="Arial"/>
                <w:color w:val="000000"/>
                <w:sz w:val="22"/>
                <w:szCs w:val="22"/>
              </w:rPr>
              <w:t>Noordhoff and Kleinfeld, 1990 from end of reading list: otherwise it is identical</w:t>
            </w:r>
          </w:p>
        </w:tc>
      </w:tr>
      <w:tr w:rsidR="001142E9" w14:paraId="52A5EC74" w14:textId="77777777">
        <w:tc>
          <w:tcPr>
            <w:tcW w:w="881" w:type="dxa"/>
          </w:tcPr>
          <w:p w14:paraId="52A5EC68"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63</w:t>
            </w:r>
          </w:p>
        </w:tc>
        <w:tc>
          <w:tcPr>
            <w:tcW w:w="1328" w:type="dxa"/>
          </w:tcPr>
          <w:p w14:paraId="52A5EC69"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45</w:t>
            </w:r>
          </w:p>
        </w:tc>
        <w:tc>
          <w:tcPr>
            <w:tcW w:w="3392" w:type="dxa"/>
          </w:tcPr>
          <w:p w14:paraId="52A5EC6A"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This context suggests that an examination of the conditions and contexts of teaching experiences helps practitioners to situate aspects of their practice in appropriate ways to accommodate their learning. </w:t>
            </w:r>
          </w:p>
          <w:p w14:paraId="52A5EC6B" w14:textId="77777777" w:rsidR="001142E9" w:rsidRDefault="001142E9">
            <w:pPr>
              <w:spacing w:after="0" w:line="240" w:lineRule="auto"/>
              <w:rPr>
                <w:rFonts w:ascii="Arial" w:hAnsi="Arial" w:cs="Arial"/>
                <w:color w:val="000000"/>
                <w:sz w:val="22"/>
                <w:szCs w:val="22"/>
              </w:rPr>
            </w:pPr>
          </w:p>
        </w:tc>
        <w:tc>
          <w:tcPr>
            <w:tcW w:w="3399" w:type="dxa"/>
          </w:tcPr>
          <w:p w14:paraId="52A5EC6C"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This frame of reference suggests that an examination of the conditions and contexts of their work helps practitioners to learn about and change their practice in ways appropriate to their unique environment. </w:t>
            </w:r>
          </w:p>
          <w:p w14:paraId="52A5EC6D" w14:textId="77777777" w:rsidR="001142E9" w:rsidRDefault="001142E9">
            <w:pPr>
              <w:spacing w:after="0" w:line="240" w:lineRule="auto"/>
              <w:rPr>
                <w:rFonts w:ascii="Arial" w:hAnsi="Arial" w:cs="Arial"/>
                <w:color w:val="000000"/>
                <w:sz w:val="22"/>
                <w:szCs w:val="22"/>
              </w:rPr>
            </w:pPr>
          </w:p>
        </w:tc>
        <w:tc>
          <w:tcPr>
            <w:tcW w:w="1960" w:type="dxa"/>
          </w:tcPr>
          <w:p w14:paraId="52A5EC6E"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More extensive paraphrase, though paragraphs are very close</w:t>
            </w:r>
          </w:p>
        </w:tc>
        <w:tc>
          <w:tcPr>
            <w:tcW w:w="2987" w:type="dxa"/>
          </w:tcPr>
          <w:p w14:paraId="52A5EC6F"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Note similar words ‘appropriate ways/ways appropriate’; practitioners; examination’; ‘conditions and contexts’</w:t>
            </w:r>
          </w:p>
          <w:p w14:paraId="52A5EC70" w14:textId="77777777" w:rsidR="001142E9" w:rsidRDefault="001142E9">
            <w:pPr>
              <w:spacing w:after="0" w:line="240" w:lineRule="auto"/>
              <w:rPr>
                <w:rFonts w:ascii="Arial" w:eastAsia="Aptos" w:hAnsi="Arial" w:cs="Arial"/>
                <w:sz w:val="22"/>
                <w:szCs w:val="22"/>
              </w:rPr>
            </w:pPr>
          </w:p>
          <w:p w14:paraId="52A5EC71"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Paraphrase: ‘unique environment’ becomes ‘accommodate their learning’</w:t>
            </w:r>
          </w:p>
          <w:p w14:paraId="52A5EC72" w14:textId="77777777" w:rsidR="001142E9" w:rsidRDefault="001142E9">
            <w:pPr>
              <w:spacing w:after="0" w:line="240" w:lineRule="auto"/>
              <w:rPr>
                <w:rFonts w:ascii="Arial" w:eastAsia="Aptos" w:hAnsi="Arial" w:cs="Arial"/>
                <w:sz w:val="22"/>
                <w:szCs w:val="22"/>
              </w:rPr>
            </w:pPr>
          </w:p>
          <w:p w14:paraId="52A5EC73" w14:textId="77777777" w:rsidR="001142E9" w:rsidRDefault="001142E9">
            <w:pPr>
              <w:spacing w:after="0" w:line="240" w:lineRule="auto"/>
              <w:rPr>
                <w:rFonts w:ascii="Arial" w:eastAsia="Aptos" w:hAnsi="Arial" w:cs="Arial"/>
                <w:sz w:val="22"/>
                <w:szCs w:val="22"/>
              </w:rPr>
            </w:pPr>
          </w:p>
        </w:tc>
      </w:tr>
      <w:tr w:rsidR="001142E9" w14:paraId="52A5EC7C" w14:textId="77777777">
        <w:tc>
          <w:tcPr>
            <w:tcW w:w="881" w:type="dxa"/>
          </w:tcPr>
          <w:p w14:paraId="52A5EC75"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63</w:t>
            </w:r>
          </w:p>
        </w:tc>
        <w:tc>
          <w:tcPr>
            <w:tcW w:w="1328" w:type="dxa"/>
          </w:tcPr>
          <w:p w14:paraId="52A5EC76"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45</w:t>
            </w:r>
          </w:p>
        </w:tc>
        <w:tc>
          <w:tcPr>
            <w:tcW w:w="3392" w:type="dxa"/>
          </w:tcPr>
          <w:p w14:paraId="52A5EC77"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As McNiff et al., (2003) note, the ethical and moral principles inherent within the action research process, significantly influence the outcomes of such practice in relation to:</w:t>
            </w:r>
            <w:r>
              <w:rPr>
                <w:rFonts w:ascii="Arial" w:eastAsia="Aptos" w:hAnsi="Arial" w:cs="Arial"/>
                <w:color w:val="000000"/>
                <w:sz w:val="22"/>
                <w:szCs w:val="22"/>
              </w:rPr>
              <w:br/>
            </w:r>
            <w:r>
              <w:rPr>
                <w:rFonts w:ascii="Arial" w:eastAsia="Aptos" w:hAnsi="Arial" w:cs="Arial"/>
                <w:color w:val="000000"/>
                <w:sz w:val="22"/>
                <w:szCs w:val="22"/>
              </w:rPr>
              <w:t> Personal development;</w:t>
            </w:r>
            <w:r>
              <w:rPr>
                <w:rFonts w:ascii="Arial" w:eastAsia="Aptos" w:hAnsi="Arial" w:cs="Arial"/>
                <w:color w:val="000000"/>
                <w:sz w:val="22"/>
                <w:szCs w:val="22"/>
              </w:rPr>
              <w:br/>
            </w:r>
            <w:r>
              <w:rPr>
                <w:rFonts w:ascii="Arial" w:eastAsia="Aptos" w:hAnsi="Arial" w:cs="Arial"/>
                <w:color w:val="000000"/>
                <w:sz w:val="22"/>
                <w:szCs w:val="22"/>
              </w:rPr>
              <w:t> Improved professional practice;</w:t>
            </w:r>
            <w:r>
              <w:rPr>
                <w:rFonts w:ascii="Arial" w:eastAsia="Aptos" w:hAnsi="Arial" w:cs="Arial"/>
                <w:color w:val="000000"/>
                <w:sz w:val="22"/>
                <w:szCs w:val="22"/>
              </w:rPr>
              <w:br/>
            </w:r>
            <w:r>
              <w:rPr>
                <w:rFonts w:ascii="Arial" w:eastAsia="Aptos" w:hAnsi="Arial" w:cs="Arial"/>
                <w:color w:val="000000"/>
                <w:sz w:val="22"/>
                <w:szCs w:val="22"/>
              </w:rPr>
              <w:t> Improvements in the institution;</w:t>
            </w:r>
            <w:r>
              <w:rPr>
                <w:rFonts w:ascii="Arial" w:eastAsia="Aptos" w:hAnsi="Arial" w:cs="Arial"/>
                <w:color w:val="000000"/>
                <w:sz w:val="22"/>
                <w:szCs w:val="22"/>
              </w:rPr>
              <w:br/>
            </w:r>
            <w:r>
              <w:rPr>
                <w:rFonts w:ascii="Arial" w:eastAsia="Aptos" w:hAnsi="Arial" w:cs="Arial"/>
                <w:color w:val="000000"/>
                <w:sz w:val="22"/>
                <w:szCs w:val="22"/>
              </w:rPr>
              <w:t> Contribution to the good order of society.</w:t>
            </w:r>
          </w:p>
          <w:p w14:paraId="52A5EC78" w14:textId="77777777" w:rsidR="001142E9" w:rsidRDefault="001142E9">
            <w:pPr>
              <w:spacing w:after="0" w:line="240" w:lineRule="auto"/>
              <w:rPr>
                <w:rFonts w:ascii="Arial" w:hAnsi="Arial" w:cs="Arial"/>
                <w:color w:val="000000"/>
                <w:sz w:val="22"/>
                <w:szCs w:val="22"/>
              </w:rPr>
            </w:pPr>
          </w:p>
        </w:tc>
        <w:tc>
          <w:tcPr>
            <w:tcW w:w="3399" w:type="dxa"/>
          </w:tcPr>
          <w:p w14:paraId="52A5EC79"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As McNiff, Lomax and Whitehead (2003) note, the ethical and moral principles inherent within action research, can influence the outcomes of action research in relation to:</w:t>
            </w:r>
            <w:r>
              <w:rPr>
                <w:rFonts w:ascii="Arial" w:eastAsia="Aptos" w:hAnsi="Arial" w:cs="Arial"/>
                <w:color w:val="000000"/>
                <w:sz w:val="22"/>
                <w:szCs w:val="22"/>
              </w:rPr>
              <w:br/>
              <w:t>personal development</w:t>
            </w:r>
            <w:r>
              <w:rPr>
                <w:rFonts w:ascii="Arial" w:eastAsia="Aptos" w:hAnsi="Arial" w:cs="Arial"/>
                <w:color w:val="000000"/>
                <w:sz w:val="22"/>
                <w:szCs w:val="22"/>
              </w:rPr>
              <w:br/>
              <w:t>improved professional practice improvements in the institution contribution to the good order of society</w:t>
            </w:r>
          </w:p>
        </w:tc>
        <w:tc>
          <w:tcPr>
            <w:tcW w:w="1960" w:type="dxa"/>
          </w:tcPr>
          <w:p w14:paraId="52A5EC7A"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Verbatim references, followed by verbatim text using identical Z-M scaffold &amp; content</w:t>
            </w:r>
          </w:p>
        </w:tc>
        <w:tc>
          <w:tcPr>
            <w:tcW w:w="2987" w:type="dxa"/>
          </w:tcPr>
          <w:p w14:paraId="52A5EC7B" w14:textId="77777777" w:rsidR="001142E9" w:rsidRDefault="002B3BB7">
            <w:pPr>
              <w:spacing w:after="0" w:line="240" w:lineRule="auto"/>
              <w:rPr>
                <w:rFonts w:ascii="Arial" w:hAnsi="Arial" w:cs="Arial"/>
                <w:sz w:val="22"/>
                <w:szCs w:val="22"/>
              </w:rPr>
            </w:pPr>
            <w:r>
              <w:rPr>
                <w:rFonts w:ascii="Arial" w:eastAsia="Aptos" w:hAnsi="Arial" w:cs="Arial"/>
                <w:sz w:val="22"/>
                <w:szCs w:val="22"/>
              </w:rPr>
              <w:t>Note use of McNiff et al, which appears as ‘McNiff, Lomax and Whitehead’ in Z-M thesis</w:t>
            </w:r>
          </w:p>
        </w:tc>
      </w:tr>
      <w:tr w:rsidR="001142E9" w14:paraId="52A5EC84" w14:textId="77777777">
        <w:tc>
          <w:tcPr>
            <w:tcW w:w="881" w:type="dxa"/>
          </w:tcPr>
          <w:p w14:paraId="52A5EC7D"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63</w:t>
            </w:r>
          </w:p>
        </w:tc>
        <w:tc>
          <w:tcPr>
            <w:tcW w:w="1328" w:type="dxa"/>
          </w:tcPr>
          <w:p w14:paraId="52A5EC7E"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45-46</w:t>
            </w:r>
          </w:p>
        </w:tc>
        <w:tc>
          <w:tcPr>
            <w:tcW w:w="3392" w:type="dxa"/>
          </w:tcPr>
          <w:p w14:paraId="52A5EC7F"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This critical perspective broadens the aims of action research as a vehicle for educational reform as such endeavour becomes a process for initiating change within teachers related to personal, professional and political perspectives which inform teaching values and beliefs. Importantly, such considerations resonate with how teachers produce knowledge for evaluating aspects of their own pedagogical practice (McNiff et al., 2003)</w:t>
            </w:r>
          </w:p>
        </w:tc>
        <w:tc>
          <w:tcPr>
            <w:tcW w:w="3399" w:type="dxa"/>
          </w:tcPr>
          <w:p w14:paraId="52A5EC80"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This critical perspective widens the aims of action research as a vehicle for educational reform as it becomes a process of creating the conditions for change on three levels of the work of teachers: personal, professional and political. Not only is this an issue of how teachers‟ behave in their classrooms or with others in their school but also „of how they come to „own‟ and produce knowledge for their own purpose‟ (ibid: 44).</w:t>
            </w:r>
          </w:p>
          <w:p w14:paraId="52A5EC81" w14:textId="77777777" w:rsidR="001142E9" w:rsidRDefault="001142E9">
            <w:pPr>
              <w:spacing w:after="0" w:line="240" w:lineRule="auto"/>
              <w:rPr>
                <w:rFonts w:ascii="Arial" w:hAnsi="Arial" w:cs="Arial"/>
                <w:color w:val="000000"/>
                <w:sz w:val="22"/>
                <w:szCs w:val="22"/>
              </w:rPr>
            </w:pPr>
          </w:p>
        </w:tc>
        <w:tc>
          <w:tcPr>
            <w:tcW w:w="1960" w:type="dxa"/>
          </w:tcPr>
          <w:p w14:paraId="52A5EC82"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Verbatim text, with word substitution, followed by minor paraphrase</w:t>
            </w:r>
          </w:p>
        </w:tc>
        <w:tc>
          <w:tcPr>
            <w:tcW w:w="2987" w:type="dxa"/>
          </w:tcPr>
          <w:p w14:paraId="52A5EC83" w14:textId="77777777" w:rsidR="001142E9" w:rsidRDefault="002B3BB7">
            <w:pPr>
              <w:spacing w:after="0" w:line="240" w:lineRule="auto"/>
              <w:rPr>
                <w:rFonts w:ascii="Arial" w:hAnsi="Arial" w:cs="Arial"/>
                <w:sz w:val="22"/>
                <w:szCs w:val="22"/>
              </w:rPr>
            </w:pPr>
            <w:r>
              <w:rPr>
                <w:rFonts w:ascii="Arial" w:eastAsia="Aptos" w:hAnsi="Arial" w:cs="Arial"/>
                <w:sz w:val="22"/>
                <w:szCs w:val="22"/>
              </w:rPr>
              <w:t>Note similarities ‘personal, professional and political’; note also Arday’s reflection on ‘teaching values and beliefs’</w:t>
            </w:r>
          </w:p>
        </w:tc>
      </w:tr>
      <w:tr w:rsidR="001142E9" w14:paraId="52A5EC8F" w14:textId="77777777">
        <w:tc>
          <w:tcPr>
            <w:tcW w:w="881" w:type="dxa"/>
          </w:tcPr>
          <w:p w14:paraId="52A5EC85"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63</w:t>
            </w:r>
          </w:p>
        </w:tc>
        <w:tc>
          <w:tcPr>
            <w:tcW w:w="1328" w:type="dxa"/>
          </w:tcPr>
          <w:p w14:paraId="52A5EC86"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46</w:t>
            </w:r>
          </w:p>
        </w:tc>
        <w:tc>
          <w:tcPr>
            <w:tcW w:w="3392" w:type="dxa"/>
          </w:tcPr>
          <w:p w14:paraId="52A5EC87"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Although action research has been recognised as a means to develop reflective practice and promote educational change, there still remains a dearth of literature regarding the influence of such practice within student-teacher education (Hickson, 2012).</w:t>
            </w:r>
          </w:p>
          <w:p w14:paraId="52A5EC88" w14:textId="77777777" w:rsidR="001142E9" w:rsidRDefault="001142E9">
            <w:pPr>
              <w:spacing w:after="0" w:line="240" w:lineRule="auto"/>
              <w:rPr>
                <w:rFonts w:ascii="Arial" w:hAnsi="Arial" w:cs="Arial"/>
                <w:color w:val="000000"/>
                <w:sz w:val="22"/>
                <w:szCs w:val="22"/>
              </w:rPr>
            </w:pPr>
          </w:p>
          <w:p w14:paraId="52A5EC89" w14:textId="77777777" w:rsidR="001142E9" w:rsidRDefault="001142E9">
            <w:pPr>
              <w:spacing w:after="0" w:line="240" w:lineRule="auto"/>
              <w:rPr>
                <w:rFonts w:ascii="Arial" w:hAnsi="Arial" w:cs="Arial"/>
                <w:color w:val="000000"/>
                <w:sz w:val="22"/>
                <w:szCs w:val="22"/>
              </w:rPr>
            </w:pPr>
          </w:p>
          <w:p w14:paraId="52A5EC8A" w14:textId="77777777" w:rsidR="001142E9" w:rsidRDefault="001142E9">
            <w:pPr>
              <w:spacing w:after="0" w:line="240" w:lineRule="auto"/>
              <w:rPr>
                <w:rFonts w:ascii="Arial" w:hAnsi="Arial" w:cs="Arial"/>
                <w:color w:val="000000"/>
                <w:sz w:val="22"/>
                <w:szCs w:val="22"/>
              </w:rPr>
            </w:pPr>
          </w:p>
        </w:tc>
        <w:tc>
          <w:tcPr>
            <w:tcW w:w="3399" w:type="dxa"/>
          </w:tcPr>
          <w:p w14:paraId="52A5EC8B"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Although action research has been recognised as a means to develop reflective practice and promote educational change, few studies have examined its influence in student teacher education. </w:t>
            </w:r>
          </w:p>
          <w:p w14:paraId="52A5EC8C" w14:textId="77777777" w:rsidR="001142E9" w:rsidRDefault="001142E9">
            <w:pPr>
              <w:spacing w:after="0" w:line="240" w:lineRule="auto"/>
              <w:rPr>
                <w:rFonts w:ascii="Arial" w:hAnsi="Arial" w:cs="Arial"/>
                <w:color w:val="000000"/>
                <w:sz w:val="22"/>
                <w:szCs w:val="22"/>
              </w:rPr>
            </w:pPr>
          </w:p>
        </w:tc>
        <w:tc>
          <w:tcPr>
            <w:tcW w:w="1960" w:type="dxa"/>
          </w:tcPr>
          <w:p w14:paraId="52A5EC8D"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Near-verbatim, with insertion of Hickson at the end</w:t>
            </w:r>
          </w:p>
        </w:tc>
        <w:tc>
          <w:tcPr>
            <w:tcW w:w="2987" w:type="dxa"/>
          </w:tcPr>
          <w:p w14:paraId="52A5EC8E" w14:textId="77777777" w:rsidR="001142E9" w:rsidRDefault="001142E9">
            <w:pPr>
              <w:spacing w:after="0" w:line="240" w:lineRule="auto"/>
              <w:rPr>
                <w:rFonts w:ascii="Arial" w:hAnsi="Arial" w:cs="Arial"/>
                <w:sz w:val="22"/>
                <w:szCs w:val="22"/>
              </w:rPr>
            </w:pPr>
          </w:p>
        </w:tc>
      </w:tr>
      <w:tr w:rsidR="001142E9" w14:paraId="52A5ECA3" w14:textId="77777777">
        <w:tc>
          <w:tcPr>
            <w:tcW w:w="881" w:type="dxa"/>
          </w:tcPr>
          <w:p w14:paraId="52A5EC90"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63-64</w:t>
            </w:r>
          </w:p>
          <w:p w14:paraId="52A5EC91" w14:textId="77777777" w:rsidR="001142E9" w:rsidRDefault="001142E9">
            <w:pPr>
              <w:spacing w:after="0" w:line="240" w:lineRule="auto"/>
              <w:rPr>
                <w:rFonts w:ascii="Arial" w:hAnsi="Arial" w:cs="Arial"/>
                <w:sz w:val="22"/>
                <w:szCs w:val="22"/>
              </w:rPr>
            </w:pPr>
          </w:p>
        </w:tc>
        <w:tc>
          <w:tcPr>
            <w:tcW w:w="1328" w:type="dxa"/>
          </w:tcPr>
          <w:p w14:paraId="52A5EC92"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46</w:t>
            </w:r>
          </w:p>
          <w:p w14:paraId="52A5EC93" w14:textId="77777777" w:rsidR="001142E9" w:rsidRDefault="001142E9">
            <w:pPr>
              <w:spacing w:after="0" w:line="240" w:lineRule="auto"/>
              <w:rPr>
                <w:rFonts w:ascii="Arial" w:hAnsi="Arial" w:cs="Arial"/>
                <w:sz w:val="22"/>
                <w:szCs w:val="22"/>
              </w:rPr>
            </w:pPr>
          </w:p>
        </w:tc>
        <w:tc>
          <w:tcPr>
            <w:tcW w:w="3392" w:type="dxa"/>
          </w:tcPr>
          <w:p w14:paraId="52A5EC94"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Many studies have focused on written artefacts (portfolios, project reports, reflective journals) of teachers’ enquiries (Beyer, 1984; Bissex and Bullock, 1987; Goswami and Stillman, 1987). This has been exemplified through studies which document experienced teachers’ experiences of self-study, with narrative and anecdotal accounts provided of their personal experiences through contrasting professional dialogues with other teachers (Connelly and Clandinin, 1988; Russell, 1993). </w:t>
            </w:r>
          </w:p>
          <w:p w14:paraId="52A5EC95" w14:textId="77777777" w:rsidR="001142E9" w:rsidRDefault="001142E9">
            <w:pPr>
              <w:spacing w:after="0" w:line="240" w:lineRule="auto"/>
              <w:rPr>
                <w:rFonts w:ascii="Arial" w:hAnsi="Arial" w:cs="Arial"/>
                <w:color w:val="000000"/>
                <w:sz w:val="22"/>
                <w:szCs w:val="22"/>
              </w:rPr>
            </w:pPr>
          </w:p>
          <w:p w14:paraId="52A5EC96"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Additionally, previous studies have detailed professional development projects which encourage experienced teachers to engage in collaborative action research as a process both for professional learning and educational reform  (Cochran-Smith and Lytle, 1999; Gore and Zeichner, 1995; Noffke, 2005; Pring, 2005; Somekh, 2006).</w:t>
            </w:r>
          </w:p>
          <w:p w14:paraId="52A5EC97" w14:textId="77777777" w:rsidR="001142E9" w:rsidRDefault="001142E9">
            <w:pPr>
              <w:spacing w:after="0" w:line="240" w:lineRule="auto"/>
              <w:rPr>
                <w:rFonts w:ascii="Arial" w:hAnsi="Arial" w:cs="Arial"/>
                <w:color w:val="000000"/>
                <w:sz w:val="22"/>
                <w:szCs w:val="22"/>
              </w:rPr>
            </w:pPr>
          </w:p>
        </w:tc>
        <w:tc>
          <w:tcPr>
            <w:tcW w:w="3399" w:type="dxa"/>
          </w:tcPr>
          <w:p w14:paraId="52A5EC98"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Many studies have focused on written artefacts (portfolios, project reports, reflective journals) of teachers‟ enquiries (Beyer, 1984; Bissex and Bullock, 1987; Goswami and Stillman, 1987) as exemplified in experienced teachers‟ grounded in selfstudy, providing narrative accounts of their personal experiences and professional lives through teacher stories and stories of teachers (Connelly and Clandinin, 1988; Russell, 1993); </w:t>
            </w:r>
          </w:p>
          <w:p w14:paraId="52A5EC99" w14:textId="77777777" w:rsidR="001142E9" w:rsidRDefault="001142E9">
            <w:pPr>
              <w:spacing w:after="0" w:line="240" w:lineRule="auto"/>
              <w:rPr>
                <w:rFonts w:ascii="Arial" w:hAnsi="Arial" w:cs="Arial"/>
                <w:color w:val="000000"/>
                <w:sz w:val="22"/>
                <w:szCs w:val="22"/>
              </w:rPr>
            </w:pPr>
          </w:p>
          <w:p w14:paraId="52A5EC9A" w14:textId="77777777" w:rsidR="001142E9" w:rsidRDefault="001142E9">
            <w:pPr>
              <w:spacing w:after="0" w:line="240" w:lineRule="auto"/>
              <w:rPr>
                <w:rFonts w:ascii="Arial" w:hAnsi="Arial" w:cs="Arial"/>
                <w:color w:val="000000"/>
                <w:sz w:val="22"/>
                <w:szCs w:val="22"/>
              </w:rPr>
            </w:pPr>
          </w:p>
          <w:p w14:paraId="52A5EC9B" w14:textId="77777777" w:rsidR="001142E9" w:rsidRDefault="001142E9">
            <w:pPr>
              <w:spacing w:after="0" w:line="240" w:lineRule="auto"/>
              <w:rPr>
                <w:rFonts w:ascii="Arial" w:hAnsi="Arial" w:cs="Arial"/>
                <w:color w:val="000000"/>
                <w:sz w:val="22"/>
                <w:szCs w:val="22"/>
              </w:rPr>
            </w:pPr>
          </w:p>
          <w:p w14:paraId="52A5EC9C" w14:textId="77777777" w:rsidR="001142E9" w:rsidRDefault="001142E9">
            <w:pPr>
              <w:spacing w:after="0" w:line="240" w:lineRule="auto"/>
              <w:rPr>
                <w:rFonts w:ascii="Arial" w:hAnsi="Arial" w:cs="Arial"/>
                <w:color w:val="000000"/>
                <w:sz w:val="22"/>
                <w:szCs w:val="22"/>
              </w:rPr>
            </w:pPr>
          </w:p>
          <w:p w14:paraId="52A5EC9D"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and, in professional development projects which expect teachers to engage in collaborative action research as a process both for professional learning and educational reform (Cochran-Smith and Lytle, 1999; Elliott, 2004; Gore and Zeichner, 1995; Knight, 2002; Noffke, 2005; Somekh, 2006). </w:t>
            </w:r>
          </w:p>
          <w:p w14:paraId="52A5EC9E" w14:textId="77777777" w:rsidR="001142E9" w:rsidRDefault="001142E9">
            <w:pPr>
              <w:spacing w:after="0" w:line="240" w:lineRule="auto"/>
              <w:rPr>
                <w:rFonts w:ascii="Arial" w:hAnsi="Arial" w:cs="Arial"/>
                <w:sz w:val="22"/>
                <w:szCs w:val="22"/>
              </w:rPr>
            </w:pPr>
          </w:p>
        </w:tc>
        <w:tc>
          <w:tcPr>
            <w:tcW w:w="1960" w:type="dxa"/>
          </w:tcPr>
          <w:p w14:paraId="52A5EC9F" w14:textId="77777777" w:rsidR="001142E9" w:rsidRDefault="002B3BB7">
            <w:pPr>
              <w:spacing w:after="0" w:line="240" w:lineRule="auto"/>
              <w:rPr>
                <w:rFonts w:ascii="Arial" w:hAnsi="Arial" w:cs="Arial"/>
                <w:sz w:val="22"/>
                <w:szCs w:val="22"/>
              </w:rPr>
            </w:pPr>
            <w:r>
              <w:rPr>
                <w:rFonts w:ascii="Arial" w:eastAsia="Aptos" w:hAnsi="Arial" w:cs="Arial"/>
                <w:sz w:val="22"/>
                <w:szCs w:val="22"/>
              </w:rPr>
              <w:t>Verbatim scaffold, identical curated literature list, followed by verbatim/near-verbatim text, returns to copied literature list</w:t>
            </w:r>
          </w:p>
        </w:tc>
        <w:tc>
          <w:tcPr>
            <w:tcW w:w="2987" w:type="dxa"/>
          </w:tcPr>
          <w:p w14:paraId="52A5ECA0" w14:textId="77777777" w:rsidR="001142E9" w:rsidRDefault="002B3BB7">
            <w:pPr>
              <w:spacing w:after="0" w:line="240" w:lineRule="auto"/>
              <w:rPr>
                <w:rFonts w:ascii="Arial" w:hAnsi="Arial" w:cs="Arial"/>
                <w:sz w:val="22"/>
                <w:szCs w:val="22"/>
              </w:rPr>
            </w:pPr>
            <w:r>
              <w:rPr>
                <w:rFonts w:ascii="Arial" w:eastAsia="Aptos" w:hAnsi="Arial" w:cs="Arial"/>
                <w:sz w:val="22"/>
                <w:szCs w:val="22"/>
              </w:rPr>
              <w:t>Introduces Bissex, Goswami, Stillman, Beyer; then Connelly and Clandinin, Russell</w:t>
            </w:r>
          </w:p>
          <w:p w14:paraId="52A5ECA1" w14:textId="77777777" w:rsidR="001142E9" w:rsidRDefault="001142E9">
            <w:pPr>
              <w:spacing w:after="0" w:line="240" w:lineRule="auto"/>
              <w:rPr>
                <w:rFonts w:ascii="Arial" w:hAnsi="Arial" w:cs="Arial"/>
                <w:sz w:val="22"/>
                <w:szCs w:val="22"/>
              </w:rPr>
            </w:pPr>
          </w:p>
          <w:p w14:paraId="52A5ECA2" w14:textId="77777777" w:rsidR="001142E9" w:rsidRDefault="002B3BB7">
            <w:pPr>
              <w:spacing w:after="0" w:line="240" w:lineRule="auto"/>
              <w:rPr>
                <w:rFonts w:ascii="Arial" w:hAnsi="Arial" w:cs="Arial"/>
                <w:sz w:val="22"/>
                <w:szCs w:val="22"/>
              </w:rPr>
            </w:pPr>
            <w:r>
              <w:rPr>
                <w:rFonts w:ascii="Arial" w:eastAsia="Aptos" w:hAnsi="Arial" w:cs="Arial"/>
                <w:sz w:val="22"/>
                <w:szCs w:val="22"/>
              </w:rPr>
              <w:t>Second reference list cites Cochran-Smith, Gore and Zeichner, Knight, Noffke</w:t>
            </w:r>
          </w:p>
        </w:tc>
      </w:tr>
      <w:tr w:rsidR="001142E9" w14:paraId="52A5ECAD" w14:textId="77777777">
        <w:tc>
          <w:tcPr>
            <w:tcW w:w="881" w:type="dxa"/>
          </w:tcPr>
          <w:p w14:paraId="52A5ECA4"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64</w:t>
            </w:r>
          </w:p>
        </w:tc>
        <w:tc>
          <w:tcPr>
            <w:tcW w:w="1328" w:type="dxa"/>
          </w:tcPr>
          <w:p w14:paraId="52A5ECA5"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46</w:t>
            </w:r>
          </w:p>
        </w:tc>
        <w:tc>
          <w:tcPr>
            <w:tcW w:w="3392" w:type="dxa"/>
          </w:tcPr>
          <w:p w14:paraId="52A5ECA6"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Presently, Pring (2005) suggests that there still remain few studies which have examined how student teachers learn from the processes inherent within action research. More specifically, what is learned and how this connects with classroom enquiry, teaching and educational change (Zwozdiak-Myers, 2009).</w:t>
            </w:r>
          </w:p>
          <w:p w14:paraId="52A5ECA7" w14:textId="77777777" w:rsidR="001142E9" w:rsidRDefault="001142E9">
            <w:pPr>
              <w:spacing w:after="0" w:line="240" w:lineRule="auto"/>
              <w:rPr>
                <w:rFonts w:ascii="Arial" w:hAnsi="Arial" w:cs="Arial"/>
                <w:color w:val="000000"/>
                <w:sz w:val="22"/>
                <w:szCs w:val="22"/>
              </w:rPr>
            </w:pPr>
          </w:p>
          <w:p w14:paraId="52A5ECA8" w14:textId="77777777" w:rsidR="001142E9" w:rsidRDefault="001142E9">
            <w:pPr>
              <w:spacing w:after="0" w:line="240" w:lineRule="auto"/>
              <w:rPr>
                <w:rFonts w:ascii="Arial" w:hAnsi="Arial" w:cs="Arial"/>
                <w:color w:val="000000"/>
                <w:sz w:val="22"/>
                <w:szCs w:val="22"/>
              </w:rPr>
            </w:pPr>
          </w:p>
          <w:p w14:paraId="52A5ECA9" w14:textId="77777777" w:rsidR="001142E9" w:rsidRDefault="001142E9">
            <w:pPr>
              <w:spacing w:after="0" w:line="240" w:lineRule="auto"/>
              <w:rPr>
                <w:rFonts w:ascii="Arial" w:hAnsi="Arial" w:cs="Arial"/>
                <w:color w:val="000000"/>
                <w:sz w:val="22"/>
                <w:szCs w:val="22"/>
              </w:rPr>
            </w:pPr>
          </w:p>
        </w:tc>
        <w:tc>
          <w:tcPr>
            <w:tcW w:w="3399" w:type="dxa"/>
          </w:tcPr>
          <w:p w14:paraId="52A5ECAA"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Few studies have examined how student teachers learn the processes inherent within action research, what they learn, and further, how they make connections between classroom enquiry, teaching and educational change</w:t>
            </w:r>
          </w:p>
        </w:tc>
        <w:tc>
          <w:tcPr>
            <w:tcW w:w="1960" w:type="dxa"/>
          </w:tcPr>
          <w:p w14:paraId="52A5ECAB"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After Pring reference, verbatim text is used, with with reference to Z-M thesis but without quotation</w:t>
            </w:r>
          </w:p>
        </w:tc>
        <w:tc>
          <w:tcPr>
            <w:tcW w:w="2987" w:type="dxa"/>
          </w:tcPr>
          <w:p w14:paraId="52A5ECAC"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 xml:space="preserve">Insufficient reference to Z-M referencing </w:t>
            </w:r>
          </w:p>
        </w:tc>
      </w:tr>
      <w:tr w:rsidR="001142E9" w14:paraId="52A5ECB6" w14:textId="77777777">
        <w:tc>
          <w:tcPr>
            <w:tcW w:w="881" w:type="dxa"/>
          </w:tcPr>
          <w:p w14:paraId="52A5ECAE"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64</w:t>
            </w:r>
          </w:p>
        </w:tc>
        <w:tc>
          <w:tcPr>
            <w:tcW w:w="1328" w:type="dxa"/>
          </w:tcPr>
          <w:p w14:paraId="52A5ECAF"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46</w:t>
            </w:r>
          </w:p>
        </w:tc>
        <w:tc>
          <w:tcPr>
            <w:tcW w:w="3392" w:type="dxa"/>
          </w:tcPr>
          <w:p w14:paraId="52A5ECB0"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One study in particular undertaken by Price (2001) has examined the experiences of eleven student teachers enrolled within an action research course on a Master’s level programme, to explore ways in which connections could be drawn between research, pedagogy and change. </w:t>
            </w:r>
          </w:p>
          <w:p w14:paraId="52A5ECB1" w14:textId="77777777" w:rsidR="001142E9" w:rsidRDefault="001142E9">
            <w:pPr>
              <w:spacing w:after="0" w:line="240" w:lineRule="auto"/>
              <w:rPr>
                <w:rFonts w:ascii="Arial" w:hAnsi="Arial" w:cs="Arial"/>
                <w:color w:val="000000"/>
                <w:sz w:val="22"/>
                <w:szCs w:val="22"/>
              </w:rPr>
            </w:pPr>
          </w:p>
        </w:tc>
        <w:tc>
          <w:tcPr>
            <w:tcW w:w="3399" w:type="dxa"/>
          </w:tcPr>
          <w:p w14:paraId="52A5ECB2"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In one study, however, Price (2001) examined the experiences of 11  student teachers enrolled in an action research course on a Master‟s level programme, to identify ways in which they made connections between research, pedagogy and change. </w:t>
            </w:r>
          </w:p>
          <w:p w14:paraId="52A5ECB3" w14:textId="77777777" w:rsidR="001142E9" w:rsidRDefault="001142E9">
            <w:pPr>
              <w:spacing w:after="0" w:line="240" w:lineRule="auto"/>
              <w:rPr>
                <w:rFonts w:ascii="Arial" w:hAnsi="Arial" w:cs="Arial"/>
                <w:color w:val="000000"/>
                <w:sz w:val="22"/>
                <w:szCs w:val="22"/>
              </w:rPr>
            </w:pPr>
          </w:p>
        </w:tc>
        <w:tc>
          <w:tcPr>
            <w:tcW w:w="1960" w:type="dxa"/>
          </w:tcPr>
          <w:p w14:paraId="52A5ECB4"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Near-verbatim, cites same Price study of 11 teachers , ends with reference to ‘pedagogy and change’</w:t>
            </w:r>
          </w:p>
        </w:tc>
        <w:tc>
          <w:tcPr>
            <w:tcW w:w="2987" w:type="dxa"/>
          </w:tcPr>
          <w:p w14:paraId="52A5ECB5"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 xml:space="preserve">Note how ‘11’ is changed to ‘eleven’; </w:t>
            </w:r>
          </w:p>
        </w:tc>
      </w:tr>
      <w:tr w:rsidR="001142E9" w14:paraId="52A5ECC1" w14:textId="77777777">
        <w:tc>
          <w:tcPr>
            <w:tcW w:w="881" w:type="dxa"/>
          </w:tcPr>
          <w:p w14:paraId="52A5ECB7"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64</w:t>
            </w:r>
          </w:p>
        </w:tc>
        <w:tc>
          <w:tcPr>
            <w:tcW w:w="1328" w:type="dxa"/>
          </w:tcPr>
          <w:p w14:paraId="52A5ECB8"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46</w:t>
            </w:r>
          </w:p>
        </w:tc>
        <w:tc>
          <w:tcPr>
            <w:tcW w:w="3392" w:type="dxa"/>
          </w:tcPr>
          <w:p w14:paraId="52A5ECB9"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The framework utilised embodied four components (or domains of teaching): reflection and enquiry; learning about students; learning about pedagogical content knowledge; and, learning about social justice and democracy. </w:t>
            </w:r>
          </w:p>
          <w:p w14:paraId="52A5ECBA" w14:textId="77777777" w:rsidR="001142E9" w:rsidRDefault="001142E9">
            <w:pPr>
              <w:spacing w:after="0" w:line="240" w:lineRule="auto"/>
              <w:rPr>
                <w:rFonts w:ascii="Arial" w:hAnsi="Arial" w:cs="Arial"/>
                <w:color w:val="000000"/>
                <w:sz w:val="22"/>
                <w:szCs w:val="22"/>
              </w:rPr>
            </w:pPr>
          </w:p>
          <w:p w14:paraId="52A5ECBB" w14:textId="77777777" w:rsidR="001142E9" w:rsidRDefault="001142E9">
            <w:pPr>
              <w:spacing w:after="0" w:line="240" w:lineRule="auto"/>
              <w:rPr>
                <w:rFonts w:ascii="Arial" w:hAnsi="Arial" w:cs="Arial"/>
                <w:color w:val="000000"/>
                <w:sz w:val="22"/>
                <w:szCs w:val="22"/>
              </w:rPr>
            </w:pPr>
          </w:p>
        </w:tc>
        <w:tc>
          <w:tcPr>
            <w:tcW w:w="3399" w:type="dxa"/>
          </w:tcPr>
          <w:p w14:paraId="52A5ECBC"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The framework he used had four components (or domains of teaching): reflection and enquiry; learning about students; learning about pedagogical content knowledge; and, learning about social justice and democracy. </w:t>
            </w:r>
          </w:p>
          <w:p w14:paraId="52A5ECBD" w14:textId="77777777" w:rsidR="001142E9" w:rsidRDefault="001142E9">
            <w:pPr>
              <w:spacing w:after="0" w:line="240" w:lineRule="auto"/>
              <w:rPr>
                <w:rFonts w:ascii="Arial" w:hAnsi="Arial" w:cs="Arial"/>
                <w:color w:val="000000"/>
                <w:sz w:val="22"/>
                <w:szCs w:val="22"/>
              </w:rPr>
            </w:pPr>
          </w:p>
          <w:p w14:paraId="52A5ECBE" w14:textId="77777777" w:rsidR="001142E9" w:rsidRDefault="001142E9">
            <w:pPr>
              <w:spacing w:after="0" w:line="240" w:lineRule="auto"/>
              <w:rPr>
                <w:rFonts w:ascii="Arial" w:hAnsi="Arial" w:cs="Arial"/>
                <w:color w:val="000000"/>
                <w:sz w:val="22"/>
                <w:szCs w:val="22"/>
              </w:rPr>
            </w:pPr>
          </w:p>
        </w:tc>
        <w:tc>
          <w:tcPr>
            <w:tcW w:w="1960" w:type="dxa"/>
          </w:tcPr>
          <w:p w14:paraId="52A5ECBF"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Verbatim text</w:t>
            </w:r>
          </w:p>
        </w:tc>
        <w:tc>
          <w:tcPr>
            <w:tcW w:w="2987" w:type="dxa"/>
          </w:tcPr>
          <w:p w14:paraId="52A5ECC0"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Note reference to ‘social justice and democracy’ in both Arday’s and Z-M’s thesis</w:t>
            </w:r>
          </w:p>
        </w:tc>
      </w:tr>
      <w:tr w:rsidR="001142E9" w14:paraId="52A5ECCA" w14:textId="77777777">
        <w:tc>
          <w:tcPr>
            <w:tcW w:w="881" w:type="dxa"/>
          </w:tcPr>
          <w:p w14:paraId="52A5ECC2" w14:textId="77777777" w:rsidR="001142E9" w:rsidRDefault="001142E9">
            <w:pPr>
              <w:spacing w:after="0" w:line="240" w:lineRule="auto"/>
              <w:rPr>
                <w:rFonts w:ascii="Arial" w:eastAsia="Aptos" w:hAnsi="Arial" w:cs="Arial"/>
                <w:sz w:val="22"/>
                <w:szCs w:val="22"/>
              </w:rPr>
            </w:pPr>
          </w:p>
        </w:tc>
        <w:tc>
          <w:tcPr>
            <w:tcW w:w="1328" w:type="dxa"/>
          </w:tcPr>
          <w:p w14:paraId="52A5ECC3" w14:textId="77777777" w:rsidR="001142E9" w:rsidRDefault="001142E9">
            <w:pPr>
              <w:spacing w:after="0" w:line="240" w:lineRule="auto"/>
              <w:rPr>
                <w:rFonts w:ascii="Arial" w:eastAsia="Aptos" w:hAnsi="Arial" w:cs="Arial"/>
                <w:sz w:val="22"/>
                <w:szCs w:val="22"/>
              </w:rPr>
            </w:pPr>
          </w:p>
        </w:tc>
        <w:tc>
          <w:tcPr>
            <w:tcW w:w="3392" w:type="dxa"/>
          </w:tcPr>
          <w:p w14:paraId="52A5ECC4"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The findings illuminated that nine of the eleven student teachers’ embraced the challenge of developing morally and ethically defensible practices, which considered the board range of student experiences internally and externally within the school environment, with some recognition for how classrooms and schools could create and address aspects of social justice (Price, 2001).</w:t>
            </w:r>
          </w:p>
          <w:p w14:paraId="52A5ECC5" w14:textId="77777777" w:rsidR="001142E9" w:rsidRDefault="001142E9">
            <w:pPr>
              <w:spacing w:after="0" w:line="240" w:lineRule="auto"/>
              <w:rPr>
                <w:rFonts w:ascii="Arial" w:hAnsi="Arial" w:cs="Arial"/>
                <w:color w:val="000000"/>
                <w:sz w:val="22"/>
                <w:szCs w:val="22"/>
              </w:rPr>
            </w:pPr>
          </w:p>
        </w:tc>
        <w:tc>
          <w:tcPr>
            <w:tcW w:w="3399" w:type="dxa"/>
          </w:tcPr>
          <w:p w14:paraId="52A5ECC6"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Findings showed that 9 of the 11 student teachers „embraced the challenge of developing morally and ethically defensible practices…that considered the wide range of student experiences in and out of school, and recognised the ways in which  classrooms and schools can both create and address social justice‟ (ibid: 67). </w:t>
            </w:r>
          </w:p>
          <w:p w14:paraId="52A5ECC7" w14:textId="77777777" w:rsidR="001142E9" w:rsidRDefault="001142E9">
            <w:pPr>
              <w:spacing w:after="0" w:line="240" w:lineRule="auto"/>
              <w:rPr>
                <w:rFonts w:ascii="Arial" w:hAnsi="Arial" w:cs="Arial"/>
                <w:color w:val="000000"/>
                <w:sz w:val="22"/>
                <w:szCs w:val="22"/>
              </w:rPr>
            </w:pPr>
          </w:p>
        </w:tc>
        <w:tc>
          <w:tcPr>
            <w:tcW w:w="1960" w:type="dxa"/>
          </w:tcPr>
          <w:p w14:paraId="52A5ECC8"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Near-verbatim, references same Price study</w:t>
            </w:r>
          </w:p>
        </w:tc>
        <w:tc>
          <w:tcPr>
            <w:tcW w:w="2987" w:type="dxa"/>
          </w:tcPr>
          <w:p w14:paraId="52A5ECC9"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Note similar use of the phrase ‘developing morally and ethically defensible practices’ in both Z-M and Arday</w:t>
            </w:r>
          </w:p>
        </w:tc>
      </w:tr>
      <w:tr w:rsidR="001142E9" w14:paraId="52A5ECD3" w14:textId="77777777">
        <w:tc>
          <w:tcPr>
            <w:tcW w:w="881" w:type="dxa"/>
          </w:tcPr>
          <w:p w14:paraId="52A5ECCB"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64</w:t>
            </w:r>
          </w:p>
        </w:tc>
        <w:tc>
          <w:tcPr>
            <w:tcW w:w="1328" w:type="dxa"/>
          </w:tcPr>
          <w:p w14:paraId="52A5ECCC"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46</w:t>
            </w:r>
          </w:p>
        </w:tc>
        <w:tc>
          <w:tcPr>
            <w:tcW w:w="3392" w:type="dxa"/>
          </w:tcPr>
          <w:p w14:paraId="52A5ECCD"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In learning to become stakeholders responsible for changing and facilitating aspects of their own teaching practice, many of the trainees undertook a systematic study of their teaching which focused on challenging their understanding of teaching underpinned by the commitment to provide new ideologies to their existing values and beliefs (Price, 2001).</w:t>
            </w:r>
          </w:p>
          <w:p w14:paraId="52A5ECCE" w14:textId="77777777" w:rsidR="001142E9" w:rsidRDefault="001142E9">
            <w:pPr>
              <w:spacing w:after="0" w:line="240" w:lineRule="auto"/>
              <w:rPr>
                <w:rFonts w:ascii="Arial" w:hAnsi="Arial" w:cs="Arial"/>
                <w:color w:val="000000"/>
                <w:sz w:val="22"/>
                <w:szCs w:val="22"/>
              </w:rPr>
            </w:pPr>
          </w:p>
        </w:tc>
        <w:tc>
          <w:tcPr>
            <w:tcW w:w="3399" w:type="dxa"/>
          </w:tcPr>
          <w:p w14:paraId="52A5ECCF"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In learning to become agents of change, many undertook a systematic study of their teaching which focused on changes in their understanding of teaching underpinned by the commitment to provide „engaging and empowering experiences that challenged students intellectually, helped them make subject matter connections to their own lives, and nurtured their cultural and social identities‟ (ibid). </w:t>
            </w:r>
          </w:p>
          <w:p w14:paraId="52A5ECD0" w14:textId="77777777" w:rsidR="001142E9" w:rsidRDefault="001142E9">
            <w:pPr>
              <w:spacing w:after="0" w:line="240" w:lineRule="auto"/>
              <w:rPr>
                <w:rFonts w:ascii="Arial" w:hAnsi="Arial" w:cs="Arial"/>
                <w:color w:val="000000"/>
                <w:sz w:val="22"/>
                <w:szCs w:val="22"/>
              </w:rPr>
            </w:pPr>
          </w:p>
        </w:tc>
        <w:tc>
          <w:tcPr>
            <w:tcW w:w="1960" w:type="dxa"/>
          </w:tcPr>
          <w:p w14:paraId="52A5ECD1"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Near-verbatim, referencing the same Price 2001 study</w:t>
            </w:r>
          </w:p>
        </w:tc>
        <w:tc>
          <w:tcPr>
            <w:tcW w:w="2987" w:type="dxa"/>
          </w:tcPr>
          <w:p w14:paraId="52A5ECD2"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Replaces ‘agents of change’ with ‘stakeholders responsible for changing and facilitating aspects of their own teaching practice’; ‘many’ becomes ‘many of the trainees’</w:t>
            </w:r>
          </w:p>
        </w:tc>
      </w:tr>
      <w:tr w:rsidR="001142E9" w14:paraId="52A5ECDB" w14:textId="77777777">
        <w:tc>
          <w:tcPr>
            <w:tcW w:w="881" w:type="dxa"/>
          </w:tcPr>
          <w:p w14:paraId="52A5ECD4"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64</w:t>
            </w:r>
          </w:p>
        </w:tc>
        <w:tc>
          <w:tcPr>
            <w:tcW w:w="1328" w:type="dxa"/>
          </w:tcPr>
          <w:p w14:paraId="52A5ECD5"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47</w:t>
            </w:r>
          </w:p>
        </w:tc>
        <w:tc>
          <w:tcPr>
            <w:tcW w:w="3392" w:type="dxa"/>
          </w:tcPr>
          <w:p w14:paraId="52A5ECD6"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All the student teachers involved with the study experimented with ideas and practices, which specifically focused on the learning and engagement of their learners. The trainees involved in Price’s research asserted that their experience with engaging in action research was beneficial to the development and growth of their professional capabilities with regards to extending and improving their teaching practice.</w:t>
            </w:r>
          </w:p>
        </w:tc>
        <w:tc>
          <w:tcPr>
            <w:tcW w:w="3399" w:type="dxa"/>
          </w:tcPr>
          <w:p w14:paraId="52A5ECD7"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All 11 experimented with ideas and practices, which largely focused on the learning and engagement of their pupils and perceived the research experience was helpful to their development and growth in terms of what they came to know and were able to do. Each developed a view of teaching that „potentially seemed transformative and counter to many ideas that pervade schooling and classrooms‟ (ibid). </w:t>
            </w:r>
          </w:p>
          <w:p w14:paraId="52A5ECD8" w14:textId="77777777" w:rsidR="001142E9" w:rsidRDefault="001142E9">
            <w:pPr>
              <w:spacing w:after="0" w:line="240" w:lineRule="auto"/>
              <w:rPr>
                <w:rFonts w:ascii="Arial" w:hAnsi="Arial" w:cs="Arial"/>
                <w:color w:val="000000"/>
                <w:sz w:val="22"/>
                <w:szCs w:val="22"/>
              </w:rPr>
            </w:pPr>
          </w:p>
        </w:tc>
        <w:tc>
          <w:tcPr>
            <w:tcW w:w="1960" w:type="dxa"/>
          </w:tcPr>
          <w:p w14:paraId="52A5ECD9"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More extensive paraphrase than normally found, but copies Z-M’s two sentences to describe Price’s work</w:t>
            </w:r>
          </w:p>
        </w:tc>
        <w:tc>
          <w:tcPr>
            <w:tcW w:w="2987" w:type="dxa"/>
          </w:tcPr>
          <w:p w14:paraId="52A5ECDA"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Note same change of 11 to ‘eleven’</w:t>
            </w:r>
          </w:p>
        </w:tc>
      </w:tr>
      <w:tr w:rsidR="001142E9" w14:paraId="52A5ECE5" w14:textId="77777777">
        <w:tc>
          <w:tcPr>
            <w:tcW w:w="881" w:type="dxa"/>
          </w:tcPr>
          <w:p w14:paraId="52A5ECDC"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65</w:t>
            </w:r>
          </w:p>
        </w:tc>
        <w:tc>
          <w:tcPr>
            <w:tcW w:w="1328" w:type="dxa"/>
          </w:tcPr>
          <w:p w14:paraId="52A5ECDD"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47</w:t>
            </w:r>
          </w:p>
        </w:tc>
        <w:tc>
          <w:tcPr>
            <w:tcW w:w="3392" w:type="dxa"/>
          </w:tcPr>
          <w:p w14:paraId="52A5ECDE" w14:textId="77777777" w:rsidR="001142E9" w:rsidRDefault="002B3BB7">
            <w:pPr>
              <w:spacing w:after="0" w:line="240" w:lineRule="auto"/>
              <w:rPr>
                <w:rFonts w:ascii="Arial" w:hAnsi="Arial" w:cs="Arial"/>
                <w:sz w:val="22"/>
                <w:szCs w:val="22"/>
              </w:rPr>
            </w:pPr>
            <w:r>
              <w:rPr>
                <w:rFonts w:ascii="Arial" w:eastAsia="Aptos" w:hAnsi="Arial" w:cs="Arial"/>
                <w:sz w:val="22"/>
                <w:szCs w:val="22"/>
              </w:rPr>
              <w:t>Price (2001:58) reports that the student teachers encountered several challenges with regards to: finding time to reflect… keeping up with data collection… receiving support from subject mentors… mentors could also ‘unwittingly set boundaries upon their experimentation.’</w:t>
            </w:r>
          </w:p>
          <w:p w14:paraId="52A5ECDF" w14:textId="77777777" w:rsidR="001142E9" w:rsidRDefault="001142E9">
            <w:pPr>
              <w:spacing w:after="0" w:line="240" w:lineRule="auto"/>
              <w:rPr>
                <w:rFonts w:ascii="Arial" w:hAnsi="Arial" w:cs="Arial"/>
                <w:sz w:val="22"/>
                <w:szCs w:val="22"/>
              </w:rPr>
            </w:pPr>
          </w:p>
          <w:p w14:paraId="52A5ECE0" w14:textId="77777777" w:rsidR="001142E9" w:rsidRDefault="001142E9">
            <w:pPr>
              <w:spacing w:after="0" w:line="240" w:lineRule="auto"/>
              <w:rPr>
                <w:rFonts w:ascii="Arial" w:hAnsi="Arial" w:cs="Arial"/>
                <w:color w:val="000000"/>
                <w:sz w:val="22"/>
                <w:szCs w:val="22"/>
              </w:rPr>
            </w:pPr>
          </w:p>
        </w:tc>
        <w:tc>
          <w:tcPr>
            <w:tcW w:w="3399" w:type="dxa"/>
          </w:tcPr>
          <w:p w14:paraId="52A5ECE1" w14:textId="77777777" w:rsidR="001142E9" w:rsidRDefault="002B3BB7">
            <w:pPr>
              <w:spacing w:after="0" w:line="240" w:lineRule="auto"/>
              <w:rPr>
                <w:rFonts w:ascii="Arial" w:hAnsi="Arial" w:cs="Arial"/>
                <w:sz w:val="22"/>
                <w:szCs w:val="22"/>
              </w:rPr>
            </w:pPr>
            <w:r>
              <w:rPr>
                <w:rFonts w:ascii="Arial" w:eastAsia="Aptos" w:hAnsi="Arial" w:cs="Arial"/>
                <w:sz w:val="22"/>
                <w:szCs w:val="22"/>
              </w:rPr>
              <w:t>Price (2001:58) reports the</w:t>
            </w:r>
          </w:p>
          <w:p w14:paraId="52A5ECE2" w14:textId="77777777" w:rsidR="001142E9" w:rsidRDefault="002B3BB7">
            <w:pPr>
              <w:spacing w:after="0" w:line="240" w:lineRule="auto"/>
              <w:rPr>
                <w:rFonts w:ascii="Arial" w:hAnsi="Arial" w:cs="Arial"/>
                <w:sz w:val="22"/>
                <w:szCs w:val="22"/>
              </w:rPr>
            </w:pPr>
            <w:r>
              <w:rPr>
                <w:rFonts w:ascii="Arial" w:eastAsia="Aptos" w:hAnsi="Arial" w:cs="Arial"/>
                <w:sz w:val="22"/>
                <w:szCs w:val="22"/>
              </w:rPr>
              <w:t>student teachers encountered several challenges: finding time to reflect on their lessons; struggling to keep up with data collection; and, receiving support from mentors; for example …..mentors could also ‘unwittingly set boundaries upon their experimentation.’</w:t>
            </w:r>
          </w:p>
        </w:tc>
        <w:tc>
          <w:tcPr>
            <w:tcW w:w="1960" w:type="dxa"/>
          </w:tcPr>
          <w:p w14:paraId="52A5ECE3"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Verbatim text; close paraphrase</w:t>
            </w:r>
          </w:p>
        </w:tc>
        <w:tc>
          <w:tcPr>
            <w:tcW w:w="2987" w:type="dxa"/>
          </w:tcPr>
          <w:p w14:paraId="52A5ECE4" w14:textId="77777777" w:rsidR="001142E9" w:rsidRDefault="002B3BB7">
            <w:pPr>
              <w:spacing w:after="0" w:line="240" w:lineRule="auto"/>
              <w:rPr>
                <w:rFonts w:ascii="Arial" w:eastAsia="Aptos" w:hAnsi="Arial" w:cs="Arial"/>
                <w:sz w:val="22"/>
                <w:szCs w:val="22"/>
              </w:rPr>
            </w:pPr>
            <w:r>
              <w:rPr>
                <w:rFonts w:ascii="Arial" w:hAnsi="Arial" w:cs="Arial"/>
                <w:sz w:val="22"/>
                <w:szCs w:val="22"/>
              </w:rPr>
              <w:t>Wording nearly identical. Minor stylistic differences (“with regards to” vs. list form).</w:t>
            </w:r>
          </w:p>
        </w:tc>
      </w:tr>
      <w:tr w:rsidR="001142E9" w14:paraId="52A5ECEF" w14:textId="77777777">
        <w:tc>
          <w:tcPr>
            <w:tcW w:w="881" w:type="dxa"/>
          </w:tcPr>
          <w:p w14:paraId="52A5ECE6"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65</w:t>
            </w:r>
          </w:p>
        </w:tc>
        <w:tc>
          <w:tcPr>
            <w:tcW w:w="1328" w:type="dxa"/>
          </w:tcPr>
          <w:p w14:paraId="52A5ECE7"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47</w:t>
            </w:r>
          </w:p>
        </w:tc>
        <w:tc>
          <w:tcPr>
            <w:tcW w:w="3392" w:type="dxa"/>
          </w:tcPr>
          <w:p w14:paraId="52A5ECE8" w14:textId="77777777" w:rsidR="001142E9" w:rsidRDefault="002B3BB7">
            <w:pPr>
              <w:spacing w:after="0" w:line="240" w:lineRule="auto"/>
              <w:rPr>
                <w:rFonts w:ascii="Arial" w:hAnsi="Arial" w:cs="Arial"/>
                <w:color w:val="000000"/>
                <w:sz w:val="22"/>
                <w:szCs w:val="22"/>
              </w:rPr>
            </w:pPr>
            <w:r>
              <w:rPr>
                <w:rFonts w:ascii="Arial" w:eastAsia="Aptos" w:hAnsi="Arial" w:cs="Arial"/>
                <w:sz w:val="22"/>
                <w:szCs w:val="22"/>
              </w:rPr>
              <w:t>Importantly, this study also seeks to explore whether student teachers experienced any such challenges with regards to reflexive and peer-mentoring endeavour as they prepared for, engaged in and evaluated the impact of engaging within a community of practice and learning.”</w:t>
            </w:r>
          </w:p>
        </w:tc>
        <w:tc>
          <w:tcPr>
            <w:tcW w:w="3399" w:type="dxa"/>
          </w:tcPr>
          <w:p w14:paraId="52A5ECE9" w14:textId="77777777" w:rsidR="001142E9" w:rsidRDefault="002B3BB7">
            <w:pPr>
              <w:spacing w:after="0" w:line="240" w:lineRule="auto"/>
              <w:rPr>
                <w:rFonts w:ascii="Arial" w:hAnsi="Arial" w:cs="Arial"/>
                <w:color w:val="000000"/>
                <w:sz w:val="22"/>
                <w:szCs w:val="22"/>
              </w:rPr>
            </w:pPr>
            <w:r>
              <w:rPr>
                <w:rFonts w:ascii="Arial" w:eastAsia="Aptos" w:hAnsi="Arial" w:cs="Arial"/>
                <w:sz w:val="22"/>
                <w:szCs w:val="22"/>
              </w:rPr>
              <w:t xml:space="preserve">               This study also seeks to explore whether student teachers experienced any such challenges as they prepared for, engaged in and evaluated the impact of their own research investigations.”</w:t>
            </w:r>
          </w:p>
        </w:tc>
        <w:tc>
          <w:tcPr>
            <w:tcW w:w="1960" w:type="dxa"/>
          </w:tcPr>
          <w:p w14:paraId="52A5ECEA"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Verbatim text; close paraphrase</w:t>
            </w:r>
          </w:p>
        </w:tc>
        <w:tc>
          <w:tcPr>
            <w:tcW w:w="2987" w:type="dxa"/>
          </w:tcPr>
          <w:p w14:paraId="52A5ECEB" w14:textId="77777777" w:rsidR="001142E9" w:rsidRDefault="002B3BB7">
            <w:pPr>
              <w:spacing w:after="0" w:line="240" w:lineRule="auto"/>
              <w:rPr>
                <w:rFonts w:ascii="Arial" w:hAnsi="Arial" w:cs="Arial"/>
                <w:sz w:val="22"/>
                <w:szCs w:val="22"/>
              </w:rPr>
            </w:pPr>
            <w:r>
              <w:rPr>
                <w:rFonts w:ascii="Arial" w:eastAsia="Aptos" w:hAnsi="Arial" w:cs="Arial"/>
                <w:sz w:val="22"/>
                <w:szCs w:val="22"/>
              </w:rPr>
              <w:t>Note insertion of: ‘with regards to reflexive and peer-mentoring endeavour’</w:t>
            </w:r>
          </w:p>
          <w:p w14:paraId="52A5ECEC" w14:textId="77777777" w:rsidR="001142E9" w:rsidRDefault="001142E9">
            <w:pPr>
              <w:spacing w:after="0" w:line="240" w:lineRule="auto"/>
              <w:rPr>
                <w:rFonts w:ascii="Arial" w:hAnsi="Arial" w:cs="Arial"/>
                <w:sz w:val="22"/>
                <w:szCs w:val="22"/>
              </w:rPr>
            </w:pPr>
          </w:p>
          <w:p w14:paraId="52A5ECED" w14:textId="77777777" w:rsidR="001142E9" w:rsidRDefault="001142E9">
            <w:pPr>
              <w:spacing w:after="0" w:line="240" w:lineRule="auto"/>
              <w:rPr>
                <w:rFonts w:ascii="Arial" w:hAnsi="Arial" w:cs="Arial"/>
                <w:sz w:val="22"/>
                <w:szCs w:val="22"/>
              </w:rPr>
            </w:pPr>
          </w:p>
          <w:p w14:paraId="52A5ECEE" w14:textId="77777777" w:rsidR="001142E9" w:rsidRDefault="002B3BB7">
            <w:pPr>
              <w:spacing w:after="0" w:line="240" w:lineRule="auto"/>
              <w:rPr>
                <w:rFonts w:ascii="Arial" w:eastAsia="Aptos" w:hAnsi="Arial" w:cs="Arial"/>
                <w:sz w:val="22"/>
                <w:szCs w:val="22"/>
              </w:rPr>
            </w:pPr>
            <w:r>
              <w:rPr>
                <w:rFonts w:ascii="Arial" w:hAnsi="Arial" w:cs="Arial"/>
                <w:sz w:val="22"/>
                <w:szCs w:val="22"/>
              </w:rPr>
              <w:t>‘research investigations’ in Z-M becomes ‘engaging within a community of practice and learning.’</w:t>
            </w:r>
          </w:p>
        </w:tc>
      </w:tr>
      <w:tr w:rsidR="001142E9" w14:paraId="52A5ECFA" w14:textId="77777777">
        <w:tc>
          <w:tcPr>
            <w:tcW w:w="881" w:type="dxa"/>
          </w:tcPr>
          <w:p w14:paraId="52A5ECF0"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65</w:t>
            </w:r>
          </w:p>
        </w:tc>
        <w:tc>
          <w:tcPr>
            <w:tcW w:w="1328" w:type="dxa"/>
          </w:tcPr>
          <w:p w14:paraId="52A5ECF1"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47</w:t>
            </w:r>
          </w:p>
        </w:tc>
        <w:tc>
          <w:tcPr>
            <w:tcW w:w="3392" w:type="dxa"/>
          </w:tcPr>
          <w:p w14:paraId="52A5ECF2" w14:textId="77777777" w:rsidR="001142E9" w:rsidRDefault="002B3BB7">
            <w:pPr>
              <w:spacing w:after="0" w:line="240" w:lineRule="auto"/>
              <w:rPr>
                <w:rFonts w:ascii="Arial" w:hAnsi="Arial" w:cs="Arial"/>
                <w:sz w:val="22"/>
                <w:szCs w:val="22"/>
              </w:rPr>
            </w:pPr>
            <w:r>
              <w:rPr>
                <w:rFonts w:ascii="Arial" w:eastAsia="Aptos" w:hAnsi="Arial" w:cs="Arial"/>
                <w:sz w:val="22"/>
                <w:szCs w:val="22"/>
              </w:rPr>
              <w:t>“When practitioners engage in action research which facilitates their own learning, there is need to place learning within the context of improving oneself, in addition to providing an explanation as to how oneself is positioned in relation to disseminating… within a community of practice. (McNiff et al., 2003:17)”</w:t>
            </w:r>
          </w:p>
          <w:p w14:paraId="52A5ECF3" w14:textId="77777777" w:rsidR="001142E9" w:rsidRDefault="001142E9">
            <w:pPr>
              <w:spacing w:after="0" w:line="240" w:lineRule="auto"/>
              <w:rPr>
                <w:rFonts w:ascii="Arial" w:hAnsi="Arial" w:cs="Arial"/>
                <w:color w:val="000000"/>
                <w:sz w:val="22"/>
                <w:szCs w:val="22"/>
              </w:rPr>
            </w:pPr>
          </w:p>
        </w:tc>
        <w:tc>
          <w:tcPr>
            <w:tcW w:w="3399" w:type="dxa"/>
          </w:tcPr>
          <w:p w14:paraId="52A5ECF4" w14:textId="77777777" w:rsidR="001142E9" w:rsidRDefault="002B3BB7">
            <w:pPr>
              <w:spacing w:after="0" w:line="240" w:lineRule="auto"/>
              <w:rPr>
                <w:rFonts w:ascii="Arial" w:hAnsi="Arial" w:cs="Arial"/>
                <w:color w:val="000000"/>
                <w:sz w:val="22"/>
                <w:szCs w:val="22"/>
              </w:rPr>
            </w:pPr>
            <w:r>
              <w:rPr>
                <w:rFonts w:ascii="Arial" w:eastAsia="Aptos" w:hAnsi="Arial" w:cs="Arial"/>
                <w:sz w:val="22"/>
                <w:szCs w:val="22"/>
              </w:rPr>
              <w:t>“</w:t>
            </w:r>
            <w:r>
              <w:rPr>
                <w:rFonts w:ascii="Arial" w:eastAsia="Aptos" w:hAnsi="Arial" w:cs="Arial"/>
                <w:sz w:val="22"/>
                <w:szCs w:val="22"/>
              </w:rPr>
              <w:t>When practitioners undertake their own action research, there is need to place oneself (the I) at the centre, in addition to providing an explanation as to how oneself is positioned in relation to other research participants and the particular setting (McNiff et al., 2003:17).”</w:t>
            </w:r>
          </w:p>
        </w:tc>
        <w:tc>
          <w:tcPr>
            <w:tcW w:w="1960" w:type="dxa"/>
          </w:tcPr>
          <w:p w14:paraId="52A5ECF5"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Verbatim text, close paraphrase</w:t>
            </w:r>
          </w:p>
        </w:tc>
        <w:tc>
          <w:tcPr>
            <w:tcW w:w="2987" w:type="dxa"/>
          </w:tcPr>
          <w:p w14:paraId="52A5ECF6"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 xml:space="preserve">Paraphrase include: ‘undertake’ becomes ‘engage in’; </w:t>
            </w:r>
          </w:p>
          <w:p w14:paraId="52A5ECF7" w14:textId="77777777" w:rsidR="001142E9" w:rsidRDefault="001142E9">
            <w:pPr>
              <w:spacing w:after="0" w:line="240" w:lineRule="auto"/>
              <w:rPr>
                <w:rFonts w:ascii="Arial" w:eastAsia="Aptos" w:hAnsi="Arial" w:cs="Arial"/>
                <w:sz w:val="22"/>
                <w:szCs w:val="22"/>
              </w:rPr>
            </w:pPr>
          </w:p>
          <w:p w14:paraId="52A5ECF8" w14:textId="77777777" w:rsidR="001142E9" w:rsidRDefault="001142E9">
            <w:pPr>
              <w:spacing w:after="0" w:line="240" w:lineRule="auto"/>
              <w:rPr>
                <w:rFonts w:ascii="Arial" w:eastAsia="Aptos" w:hAnsi="Arial" w:cs="Arial"/>
                <w:sz w:val="22"/>
                <w:szCs w:val="22"/>
              </w:rPr>
            </w:pPr>
          </w:p>
          <w:p w14:paraId="52A5ECF9"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w:t>
            </w:r>
            <w:r>
              <w:rPr>
                <w:rFonts w:ascii="Arial" w:hAnsi="Arial" w:cs="Arial"/>
                <w:sz w:val="22"/>
                <w:szCs w:val="22"/>
              </w:rPr>
              <w:t>other research participants and the particular setting’ in Z-M becomes ‘within a community of practice</w:t>
            </w:r>
          </w:p>
        </w:tc>
      </w:tr>
      <w:tr w:rsidR="001142E9" w14:paraId="52A5ED02" w14:textId="77777777">
        <w:tc>
          <w:tcPr>
            <w:tcW w:w="881" w:type="dxa"/>
          </w:tcPr>
          <w:p w14:paraId="52A5ECFB"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65</w:t>
            </w:r>
          </w:p>
        </w:tc>
        <w:tc>
          <w:tcPr>
            <w:tcW w:w="1328" w:type="dxa"/>
          </w:tcPr>
          <w:p w14:paraId="52A5ECFC"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47</w:t>
            </w:r>
          </w:p>
        </w:tc>
        <w:tc>
          <w:tcPr>
            <w:tcW w:w="3392" w:type="dxa"/>
          </w:tcPr>
          <w:p w14:paraId="52A5ECFD" w14:textId="77777777" w:rsidR="001142E9" w:rsidRDefault="002B3BB7">
            <w:pPr>
              <w:spacing w:after="0" w:line="240" w:lineRule="auto"/>
              <w:rPr>
                <w:rFonts w:ascii="Arial" w:hAnsi="Arial" w:cs="Arial"/>
                <w:color w:val="000000"/>
                <w:sz w:val="22"/>
                <w:szCs w:val="22"/>
              </w:rPr>
            </w:pPr>
            <w:r>
              <w:rPr>
                <w:rFonts w:ascii="Arial" w:eastAsia="Aptos" w:hAnsi="Arial" w:cs="Arial"/>
                <w:sz w:val="22"/>
                <w:szCs w:val="22"/>
              </w:rPr>
              <w:t>“</w:t>
            </w:r>
            <w:r>
              <w:rPr>
                <w:rFonts w:ascii="Arial" w:eastAsia="Aptos" w:hAnsi="Arial" w:cs="Arial"/>
                <w:sz w:val="22"/>
                <w:szCs w:val="22"/>
              </w:rPr>
              <w:t>Guba (1996) asserts that teachers perceive action research to be a form of personal enquiry… extended form of professional enquiry… stimulates context-sensitive, particular (and) pertinent descriptive knowledge (Bell &amp; Mladenovic, 2013).”</w:t>
            </w:r>
          </w:p>
        </w:tc>
        <w:tc>
          <w:tcPr>
            <w:tcW w:w="3399" w:type="dxa"/>
          </w:tcPr>
          <w:p w14:paraId="52A5ECFE" w14:textId="77777777" w:rsidR="001142E9" w:rsidRDefault="002B3BB7">
            <w:pPr>
              <w:spacing w:after="0" w:line="240" w:lineRule="auto"/>
              <w:rPr>
                <w:rFonts w:ascii="Arial" w:hAnsi="Arial" w:cs="Arial"/>
                <w:sz w:val="22"/>
                <w:szCs w:val="22"/>
              </w:rPr>
            </w:pPr>
            <w:r>
              <w:rPr>
                <w:rFonts w:ascii="Arial" w:eastAsia="Aptos" w:hAnsi="Arial" w:cs="Arial"/>
                <w:sz w:val="22"/>
                <w:szCs w:val="22"/>
              </w:rPr>
              <w:t>“</w:t>
            </w:r>
            <w:r>
              <w:rPr>
                <w:rFonts w:ascii="Arial" w:eastAsia="Aptos" w:hAnsi="Arial" w:cs="Arial"/>
                <w:sz w:val="22"/>
                <w:szCs w:val="22"/>
              </w:rPr>
              <w:t>Guba (1996) suggests teachers perceive action research to be a form of personal enquiry that is right for them; a form of professional enquiry carried out by the practitioners themselves (Anderson et al, 1994; Kincheloe, 1991; McNiff, 1993; Stringer, 1996), which is ‘closer to the kind of knowledge… richly descriptive’ (Hiebert et al, 2002:12).”</w:t>
            </w:r>
          </w:p>
          <w:p w14:paraId="52A5ECFF" w14:textId="77777777" w:rsidR="001142E9" w:rsidRDefault="001142E9">
            <w:pPr>
              <w:spacing w:after="0" w:line="240" w:lineRule="auto"/>
              <w:rPr>
                <w:rFonts w:ascii="Arial" w:hAnsi="Arial" w:cs="Arial"/>
                <w:color w:val="000000"/>
                <w:sz w:val="22"/>
                <w:szCs w:val="22"/>
              </w:rPr>
            </w:pPr>
          </w:p>
        </w:tc>
        <w:tc>
          <w:tcPr>
            <w:tcW w:w="1960" w:type="dxa"/>
          </w:tcPr>
          <w:p w14:paraId="52A5ED00"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Verbatim text, close paraphrase</w:t>
            </w:r>
          </w:p>
        </w:tc>
        <w:tc>
          <w:tcPr>
            <w:tcW w:w="2987" w:type="dxa"/>
          </w:tcPr>
          <w:p w14:paraId="52A5ED01"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‘asserts’ vs ‘suggests’</w:t>
            </w:r>
          </w:p>
        </w:tc>
      </w:tr>
      <w:tr w:rsidR="001142E9" w14:paraId="52A5ED0A" w14:textId="77777777">
        <w:tc>
          <w:tcPr>
            <w:tcW w:w="881" w:type="dxa"/>
          </w:tcPr>
          <w:p w14:paraId="52A5ED03"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65</w:t>
            </w:r>
          </w:p>
        </w:tc>
        <w:tc>
          <w:tcPr>
            <w:tcW w:w="1328" w:type="dxa"/>
          </w:tcPr>
          <w:p w14:paraId="52A5ED04"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47</w:t>
            </w:r>
          </w:p>
        </w:tc>
        <w:tc>
          <w:tcPr>
            <w:tcW w:w="3392" w:type="dxa"/>
          </w:tcPr>
          <w:p w14:paraId="52A5ED05" w14:textId="77777777" w:rsidR="001142E9" w:rsidRDefault="002B3BB7">
            <w:pPr>
              <w:spacing w:after="0" w:line="240" w:lineRule="auto"/>
              <w:rPr>
                <w:rFonts w:ascii="Arial" w:hAnsi="Arial" w:cs="Arial"/>
                <w:sz w:val="22"/>
                <w:szCs w:val="22"/>
              </w:rPr>
            </w:pPr>
            <w:r>
              <w:rPr>
                <w:rFonts w:ascii="Arial" w:eastAsia="Aptos" w:hAnsi="Arial" w:cs="Arial"/>
                <w:sz w:val="22"/>
                <w:szCs w:val="22"/>
              </w:rPr>
              <w:t>Additionally Usher (1998:18) highlights that the study of self seems ideally suited to revealing experience-based learning and monitoring the development of self in the construction of knowledge and learning.</w:t>
            </w:r>
          </w:p>
          <w:p w14:paraId="52A5ED06" w14:textId="77777777" w:rsidR="001142E9" w:rsidRDefault="001142E9">
            <w:pPr>
              <w:spacing w:after="0" w:line="240" w:lineRule="auto"/>
              <w:rPr>
                <w:rFonts w:ascii="Arial" w:hAnsi="Arial" w:cs="Arial"/>
                <w:color w:val="000000"/>
                <w:sz w:val="22"/>
                <w:szCs w:val="22"/>
              </w:rPr>
            </w:pPr>
          </w:p>
        </w:tc>
        <w:tc>
          <w:tcPr>
            <w:tcW w:w="3399" w:type="dxa"/>
          </w:tcPr>
          <w:p w14:paraId="52A5ED07" w14:textId="77777777" w:rsidR="001142E9" w:rsidRDefault="002B3BB7">
            <w:pPr>
              <w:spacing w:after="0" w:line="240" w:lineRule="auto"/>
              <w:rPr>
                <w:rFonts w:ascii="Arial" w:hAnsi="Arial" w:cs="Arial"/>
                <w:color w:val="000000"/>
                <w:sz w:val="22"/>
                <w:szCs w:val="22"/>
              </w:rPr>
            </w:pPr>
            <w:r>
              <w:rPr>
                <w:rFonts w:ascii="Arial" w:eastAsia="Aptos" w:hAnsi="Arial" w:cs="Arial"/>
                <w:sz w:val="22"/>
                <w:szCs w:val="22"/>
              </w:rPr>
              <w:t>“Usher (1998:18) adds, the study of self ‘seems to be ideally suited to revealing experience-based learning and tracking the development of self as learner.’”</w:t>
            </w:r>
          </w:p>
        </w:tc>
        <w:tc>
          <w:tcPr>
            <w:tcW w:w="1960" w:type="dxa"/>
          </w:tcPr>
          <w:p w14:paraId="52A5ED08" w14:textId="77777777" w:rsidR="001142E9" w:rsidRDefault="002B3BB7">
            <w:pPr>
              <w:spacing w:after="0" w:line="240" w:lineRule="auto"/>
              <w:rPr>
                <w:rFonts w:ascii="Arial" w:eastAsia="Aptos" w:hAnsi="Arial" w:cs="Arial"/>
                <w:sz w:val="22"/>
                <w:szCs w:val="22"/>
              </w:rPr>
            </w:pPr>
            <w:r>
              <w:rPr>
                <w:rFonts w:ascii="Arial" w:hAnsi="Arial" w:cs="Arial"/>
                <w:sz w:val="22"/>
                <w:szCs w:val="22"/>
              </w:rPr>
              <w:t>Nearly identical — only stylistic change (“monitoring” vs. “tracking”).</w:t>
            </w:r>
          </w:p>
        </w:tc>
        <w:tc>
          <w:tcPr>
            <w:tcW w:w="2987" w:type="dxa"/>
          </w:tcPr>
          <w:p w14:paraId="52A5ED09" w14:textId="77777777" w:rsidR="001142E9" w:rsidRDefault="002B3BB7">
            <w:pPr>
              <w:spacing w:after="0" w:line="240" w:lineRule="auto"/>
              <w:rPr>
                <w:rFonts w:ascii="Arial" w:eastAsia="Aptos" w:hAnsi="Arial" w:cs="Arial"/>
                <w:sz w:val="22"/>
                <w:szCs w:val="22"/>
              </w:rPr>
            </w:pPr>
            <w:r>
              <w:rPr>
                <w:rFonts w:ascii="Arial" w:hAnsi="Arial" w:cs="Arial"/>
                <w:sz w:val="22"/>
                <w:szCs w:val="22"/>
              </w:rPr>
              <w:t>Stylistic change; ‘adds vs ‘Additionally; ‘monitoring” vs. “tracking”</w:t>
            </w:r>
          </w:p>
        </w:tc>
      </w:tr>
      <w:tr w:rsidR="001142E9" w14:paraId="52A5ED16" w14:textId="77777777">
        <w:tc>
          <w:tcPr>
            <w:tcW w:w="881" w:type="dxa"/>
          </w:tcPr>
          <w:p w14:paraId="52A5ED0B"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65</w:t>
            </w:r>
          </w:p>
        </w:tc>
        <w:tc>
          <w:tcPr>
            <w:tcW w:w="1328" w:type="dxa"/>
          </w:tcPr>
          <w:p w14:paraId="52A5ED0C"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47</w:t>
            </w:r>
          </w:p>
        </w:tc>
        <w:tc>
          <w:tcPr>
            <w:tcW w:w="3392" w:type="dxa"/>
          </w:tcPr>
          <w:p w14:paraId="52A5ED0D" w14:textId="77777777" w:rsidR="001142E9" w:rsidRDefault="002B3BB7">
            <w:pPr>
              <w:spacing w:after="0" w:line="240" w:lineRule="auto"/>
              <w:rPr>
                <w:rFonts w:ascii="Arial" w:hAnsi="Arial" w:cs="Arial"/>
                <w:color w:val="000000"/>
                <w:sz w:val="22"/>
                <w:szCs w:val="22"/>
              </w:rPr>
            </w:pPr>
            <w:r>
              <w:rPr>
                <w:rFonts w:ascii="Arial" w:eastAsia="Aptos" w:hAnsi="Arial" w:cs="Arial"/>
                <w:sz w:val="22"/>
                <w:szCs w:val="22"/>
              </w:rPr>
              <w:t>“This conception resonates with Schon’s… developing a personal epistemology of professional practice guided by theories-in-use. Importantly, this is also a fundamental aim for the purpose of undertaking this research study.”</w:t>
            </w:r>
          </w:p>
        </w:tc>
        <w:tc>
          <w:tcPr>
            <w:tcW w:w="3399" w:type="dxa"/>
          </w:tcPr>
          <w:p w14:paraId="52A5ED0E" w14:textId="77777777" w:rsidR="001142E9" w:rsidRDefault="002B3BB7">
            <w:pPr>
              <w:spacing w:after="0" w:line="240" w:lineRule="auto"/>
              <w:rPr>
                <w:rFonts w:ascii="Arial" w:hAnsi="Arial" w:cs="Arial"/>
                <w:sz w:val="22"/>
                <w:szCs w:val="22"/>
              </w:rPr>
            </w:pPr>
            <w:r>
              <w:rPr>
                <w:rFonts w:ascii="Arial" w:eastAsia="Aptos" w:hAnsi="Arial" w:cs="Arial"/>
                <w:sz w:val="22"/>
                <w:szCs w:val="22"/>
              </w:rPr>
              <w:t>“These views clearly have resonance with Schon’s… developing a personal epistemology of professional practice guided by theories in use (see section 2.7). It is also a fundamental goal behind the purpose of undertaking this study.”</w:t>
            </w:r>
          </w:p>
          <w:p w14:paraId="52A5ED0F" w14:textId="77777777" w:rsidR="001142E9" w:rsidRDefault="001142E9">
            <w:pPr>
              <w:spacing w:after="0" w:line="240" w:lineRule="auto"/>
              <w:rPr>
                <w:rFonts w:ascii="Arial" w:hAnsi="Arial" w:cs="Arial"/>
                <w:color w:val="000000"/>
                <w:sz w:val="22"/>
                <w:szCs w:val="22"/>
              </w:rPr>
            </w:pPr>
          </w:p>
        </w:tc>
        <w:tc>
          <w:tcPr>
            <w:tcW w:w="1960" w:type="dxa"/>
          </w:tcPr>
          <w:p w14:paraId="52A5ED10"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Same content, slightly rephrased</w:t>
            </w:r>
          </w:p>
        </w:tc>
        <w:tc>
          <w:tcPr>
            <w:tcW w:w="2987" w:type="dxa"/>
          </w:tcPr>
          <w:p w14:paraId="52A5ED11"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 xml:space="preserve">Stylistic changes: </w:t>
            </w:r>
          </w:p>
          <w:p w14:paraId="52A5ED12"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‘This conception’ vs ‘these views’</w:t>
            </w:r>
          </w:p>
          <w:p w14:paraId="52A5ED13" w14:textId="77777777" w:rsidR="001142E9" w:rsidRDefault="001142E9">
            <w:pPr>
              <w:spacing w:after="0" w:line="240" w:lineRule="auto"/>
              <w:rPr>
                <w:rFonts w:ascii="Arial" w:eastAsia="Aptos" w:hAnsi="Arial" w:cs="Arial"/>
                <w:sz w:val="22"/>
                <w:szCs w:val="22"/>
              </w:rPr>
            </w:pPr>
          </w:p>
          <w:p w14:paraId="52A5ED14" w14:textId="77777777" w:rsidR="001142E9" w:rsidRDefault="001142E9">
            <w:pPr>
              <w:spacing w:after="0" w:line="240" w:lineRule="auto"/>
              <w:rPr>
                <w:rFonts w:ascii="Arial" w:eastAsia="Aptos" w:hAnsi="Arial" w:cs="Arial"/>
                <w:sz w:val="22"/>
                <w:szCs w:val="22"/>
              </w:rPr>
            </w:pPr>
          </w:p>
          <w:p w14:paraId="52A5ED15"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‘fundamental aim’ vs ‘fundamental goal’</w:t>
            </w:r>
          </w:p>
        </w:tc>
      </w:tr>
      <w:tr w:rsidR="001142E9" w14:paraId="52A5ED21" w14:textId="77777777">
        <w:tc>
          <w:tcPr>
            <w:tcW w:w="881" w:type="dxa"/>
          </w:tcPr>
          <w:p w14:paraId="52A5ED17"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65</w:t>
            </w:r>
          </w:p>
        </w:tc>
        <w:tc>
          <w:tcPr>
            <w:tcW w:w="1328" w:type="dxa"/>
          </w:tcPr>
          <w:p w14:paraId="52A5ED18"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47</w:t>
            </w:r>
          </w:p>
        </w:tc>
        <w:tc>
          <w:tcPr>
            <w:tcW w:w="3392" w:type="dxa"/>
          </w:tcPr>
          <w:p w14:paraId="52A5ED19" w14:textId="77777777" w:rsidR="001142E9" w:rsidRDefault="002B3BB7">
            <w:pPr>
              <w:spacing w:after="0" w:line="240" w:lineRule="auto"/>
              <w:rPr>
                <w:rFonts w:ascii="Arial" w:hAnsi="Arial" w:cs="Arial"/>
                <w:sz w:val="22"/>
                <w:szCs w:val="22"/>
              </w:rPr>
            </w:pPr>
            <w:r>
              <w:rPr>
                <w:rFonts w:ascii="Arial" w:eastAsia="Aptos" w:hAnsi="Arial" w:cs="Arial"/>
                <w:sz w:val="22"/>
                <w:szCs w:val="22"/>
              </w:rPr>
              <w:t>“From an ontological perspective, Grimmett et al. (1990:30) consider self-reflection to be concerned with ways of being in the world, where human beings acquire an understanding of themselves through self-reflection, with experience being the stimulus for developing understanding.”</w:t>
            </w:r>
          </w:p>
          <w:p w14:paraId="52A5ED1A" w14:textId="77777777" w:rsidR="001142E9" w:rsidRDefault="001142E9">
            <w:pPr>
              <w:spacing w:after="0" w:line="240" w:lineRule="auto"/>
              <w:rPr>
                <w:rFonts w:ascii="Arial" w:hAnsi="Arial" w:cs="Arial"/>
                <w:color w:val="000000"/>
                <w:sz w:val="22"/>
                <w:szCs w:val="22"/>
              </w:rPr>
            </w:pPr>
          </w:p>
        </w:tc>
        <w:tc>
          <w:tcPr>
            <w:tcW w:w="3399" w:type="dxa"/>
          </w:tcPr>
          <w:p w14:paraId="52A5ED1B" w14:textId="77777777" w:rsidR="001142E9" w:rsidRDefault="002B3BB7">
            <w:pPr>
              <w:spacing w:after="0" w:line="240" w:lineRule="auto"/>
              <w:rPr>
                <w:rFonts w:ascii="Arial" w:hAnsi="Arial" w:cs="Arial"/>
                <w:sz w:val="22"/>
                <w:szCs w:val="22"/>
              </w:rPr>
            </w:pPr>
            <w:r>
              <w:rPr>
                <w:rFonts w:ascii="Arial" w:eastAsia="Aptos" w:hAnsi="Arial" w:cs="Arial"/>
                <w:sz w:val="22"/>
                <w:szCs w:val="22"/>
              </w:rPr>
              <w:t>“</w:t>
            </w:r>
            <w:r>
              <w:rPr>
                <w:rFonts w:ascii="Arial" w:eastAsia="Aptos" w:hAnsi="Arial" w:cs="Arial"/>
                <w:sz w:val="22"/>
                <w:szCs w:val="22"/>
              </w:rPr>
              <w:t>As an ontological phenomenon, Grimmett et al. (1990:29-30) consider self-reflection: is concerned with ways of being in the world… one can understand life… gain insights into the actions of teachers, not only as educators but also as adults who share a lived reality with children. To be self-reflective… is to be attentive to the relationship between theory and practice.</w:t>
            </w:r>
          </w:p>
          <w:p w14:paraId="52A5ED1C" w14:textId="77777777" w:rsidR="001142E9" w:rsidRDefault="001142E9">
            <w:pPr>
              <w:spacing w:after="0" w:line="240" w:lineRule="auto"/>
              <w:rPr>
                <w:rFonts w:ascii="Arial" w:hAnsi="Arial" w:cs="Arial"/>
                <w:color w:val="000000"/>
                <w:sz w:val="22"/>
                <w:szCs w:val="22"/>
              </w:rPr>
            </w:pPr>
          </w:p>
        </w:tc>
        <w:tc>
          <w:tcPr>
            <w:tcW w:w="1960" w:type="dxa"/>
          </w:tcPr>
          <w:p w14:paraId="52A5ED1D"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Identical content, some small changes to wording; see use of Grimmett</w:t>
            </w:r>
          </w:p>
        </w:tc>
        <w:tc>
          <w:tcPr>
            <w:tcW w:w="2987" w:type="dxa"/>
          </w:tcPr>
          <w:p w14:paraId="52A5ED1E" w14:textId="77777777" w:rsidR="001142E9" w:rsidRDefault="002B3BB7">
            <w:pPr>
              <w:spacing w:after="0" w:line="240" w:lineRule="auto"/>
              <w:rPr>
                <w:rFonts w:ascii="Arial" w:hAnsi="Arial" w:cs="Arial"/>
                <w:sz w:val="22"/>
                <w:szCs w:val="22"/>
              </w:rPr>
            </w:pPr>
            <w:r>
              <w:rPr>
                <w:rFonts w:ascii="Arial" w:eastAsia="Aptos" w:hAnsi="Arial" w:cs="Arial"/>
                <w:sz w:val="22"/>
                <w:szCs w:val="22"/>
              </w:rPr>
              <w:t>“From an ontological perspective’ vs ‘As an ontological phenomenon’</w:t>
            </w:r>
          </w:p>
          <w:p w14:paraId="52A5ED1F" w14:textId="77777777" w:rsidR="001142E9" w:rsidRDefault="001142E9">
            <w:pPr>
              <w:spacing w:after="0" w:line="240" w:lineRule="auto"/>
              <w:rPr>
                <w:rFonts w:ascii="Arial" w:hAnsi="Arial" w:cs="Arial"/>
                <w:sz w:val="22"/>
                <w:szCs w:val="22"/>
              </w:rPr>
            </w:pPr>
          </w:p>
          <w:p w14:paraId="52A5ED20" w14:textId="77777777" w:rsidR="001142E9" w:rsidRDefault="002B3BB7">
            <w:pPr>
              <w:spacing w:after="0" w:line="240" w:lineRule="auto"/>
              <w:rPr>
                <w:rFonts w:ascii="Arial" w:eastAsia="Aptos" w:hAnsi="Arial" w:cs="Arial"/>
                <w:sz w:val="22"/>
                <w:szCs w:val="22"/>
              </w:rPr>
            </w:pPr>
            <w:r>
              <w:rPr>
                <w:rFonts w:ascii="Arial" w:hAnsi="Arial" w:cs="Arial"/>
                <w:sz w:val="22"/>
                <w:szCs w:val="22"/>
              </w:rPr>
              <w:t>Z-M quotes Grimmett more substantially; Arday paraphrases: acceptable practice but no mention of source of text (ie, Z-M thesis)</w:t>
            </w:r>
          </w:p>
        </w:tc>
      </w:tr>
      <w:tr w:rsidR="001142E9" w14:paraId="52A5ED2A" w14:textId="77777777">
        <w:tc>
          <w:tcPr>
            <w:tcW w:w="881" w:type="dxa"/>
          </w:tcPr>
          <w:p w14:paraId="52A5ED22"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65</w:t>
            </w:r>
          </w:p>
        </w:tc>
        <w:tc>
          <w:tcPr>
            <w:tcW w:w="1328" w:type="dxa"/>
          </w:tcPr>
          <w:p w14:paraId="52A5ED23"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47</w:t>
            </w:r>
          </w:p>
        </w:tc>
        <w:tc>
          <w:tcPr>
            <w:tcW w:w="3392" w:type="dxa"/>
          </w:tcPr>
          <w:p w14:paraId="52A5ED24" w14:textId="77777777" w:rsidR="001142E9" w:rsidRDefault="002B3BB7">
            <w:pPr>
              <w:contextualSpacing/>
              <w:rPr>
                <w:rFonts w:ascii="Arial" w:hAnsi="Arial" w:cs="Arial"/>
                <w:sz w:val="22"/>
                <w:szCs w:val="22"/>
              </w:rPr>
            </w:pPr>
            <w:r>
              <w:rPr>
                <w:rFonts w:ascii="Arial" w:eastAsia="Aptos" w:hAnsi="Arial" w:cs="Arial"/>
                <w:sz w:val="22"/>
                <w:szCs w:val="22"/>
              </w:rPr>
              <w:t>The utilisation of self-reflection as a mirror for personal development is pertinent to the construct of this practice also being used as a methodology for refining practice and gaining insights into the actions of teachers, not only as educators but also as adults, who are part of a lived reality with learners (Loughran, 2010).</w:t>
            </w:r>
          </w:p>
          <w:p w14:paraId="52A5ED25" w14:textId="77777777" w:rsidR="001142E9" w:rsidRDefault="001142E9">
            <w:pPr>
              <w:contextualSpacing/>
              <w:rPr>
                <w:rFonts w:ascii="Arial" w:hAnsi="Arial" w:cs="Arial"/>
                <w:sz w:val="22"/>
                <w:szCs w:val="22"/>
              </w:rPr>
            </w:pPr>
          </w:p>
        </w:tc>
        <w:tc>
          <w:tcPr>
            <w:tcW w:w="3399" w:type="dxa"/>
          </w:tcPr>
          <w:p w14:paraId="52A5ED26" w14:textId="77777777" w:rsidR="001142E9" w:rsidRDefault="002B3BB7">
            <w:pPr>
              <w:contextualSpacing/>
              <w:rPr>
                <w:rFonts w:ascii="Arial" w:hAnsi="Arial" w:cs="Arial"/>
                <w:sz w:val="22"/>
                <w:szCs w:val="22"/>
              </w:rPr>
            </w:pPr>
            <w:r>
              <w:rPr>
                <w:rFonts w:ascii="Arial" w:eastAsia="Aptos" w:hAnsi="Arial" w:cs="Arial"/>
                <w:sz w:val="22"/>
                <w:szCs w:val="22"/>
              </w:rPr>
              <w:t xml:space="preserve">In using the concepts of self-reflection as a life philosophy and self-reflection as a methodology…(one can)…gain insights into the actions of teachers, not only as educators but also as adults who share a lived reality with children. </w:t>
            </w:r>
          </w:p>
          <w:p w14:paraId="52A5ED27" w14:textId="77777777" w:rsidR="001142E9" w:rsidRDefault="001142E9">
            <w:pPr>
              <w:spacing w:after="0" w:line="240" w:lineRule="auto"/>
              <w:contextualSpacing/>
              <w:rPr>
                <w:rFonts w:ascii="Arial" w:hAnsi="Arial" w:cs="Arial"/>
                <w:color w:val="000000"/>
                <w:sz w:val="22"/>
                <w:szCs w:val="22"/>
              </w:rPr>
            </w:pPr>
          </w:p>
        </w:tc>
        <w:tc>
          <w:tcPr>
            <w:tcW w:w="1960" w:type="dxa"/>
          </w:tcPr>
          <w:p w14:paraId="52A5ED28"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Close paraphrase; some verbatim text</w:t>
            </w:r>
          </w:p>
        </w:tc>
        <w:tc>
          <w:tcPr>
            <w:tcW w:w="2987" w:type="dxa"/>
          </w:tcPr>
          <w:p w14:paraId="52A5ED29"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Note identical terms; ‘self-reflection’; ‘methodology’; ‘lived reality’. Paraphrased phrases include ‘utilisation’ for ‘in using’; ‘as a mirror for personal development’ for ‘as a life philosophy and self-reflection’</w:t>
            </w:r>
          </w:p>
        </w:tc>
      </w:tr>
      <w:tr w:rsidR="001142E9" w14:paraId="52A5ED32" w14:textId="77777777">
        <w:tc>
          <w:tcPr>
            <w:tcW w:w="881" w:type="dxa"/>
          </w:tcPr>
          <w:p w14:paraId="52A5ED2B"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65</w:t>
            </w:r>
          </w:p>
        </w:tc>
        <w:tc>
          <w:tcPr>
            <w:tcW w:w="1328" w:type="dxa"/>
          </w:tcPr>
          <w:p w14:paraId="52A5ED2C"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47</w:t>
            </w:r>
          </w:p>
        </w:tc>
        <w:tc>
          <w:tcPr>
            <w:tcW w:w="3392" w:type="dxa"/>
          </w:tcPr>
          <w:p w14:paraId="52A5ED2D" w14:textId="77777777" w:rsidR="001142E9" w:rsidRDefault="002B3BB7">
            <w:pPr>
              <w:contextualSpacing/>
              <w:rPr>
                <w:rFonts w:ascii="Arial" w:hAnsi="Arial" w:cs="Arial"/>
                <w:sz w:val="22"/>
                <w:szCs w:val="22"/>
              </w:rPr>
            </w:pPr>
            <w:r>
              <w:rPr>
                <w:rFonts w:ascii="Arial" w:eastAsia="Aptos" w:hAnsi="Arial" w:cs="Arial"/>
                <w:sz w:val="22"/>
                <w:szCs w:val="22"/>
              </w:rPr>
              <w:t>To be self-reflective within this context is to be attentive to the relationship between theories and practice (praxis) (Pollard, 2011).</w:t>
            </w:r>
          </w:p>
          <w:p w14:paraId="52A5ED2E" w14:textId="77777777" w:rsidR="001142E9" w:rsidRDefault="001142E9">
            <w:pPr>
              <w:contextualSpacing/>
              <w:rPr>
                <w:rFonts w:ascii="Arial" w:hAnsi="Arial" w:cs="Arial"/>
                <w:sz w:val="22"/>
                <w:szCs w:val="22"/>
              </w:rPr>
            </w:pPr>
          </w:p>
        </w:tc>
        <w:tc>
          <w:tcPr>
            <w:tcW w:w="3399" w:type="dxa"/>
          </w:tcPr>
          <w:p w14:paraId="52A5ED2F"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To be self-reflective in this sense is to be attentive to the relationship between theory and practice.</w:t>
            </w:r>
          </w:p>
        </w:tc>
        <w:tc>
          <w:tcPr>
            <w:tcW w:w="1960" w:type="dxa"/>
          </w:tcPr>
          <w:p w14:paraId="52A5ED30"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 with additions</w:t>
            </w:r>
          </w:p>
        </w:tc>
        <w:tc>
          <w:tcPr>
            <w:tcW w:w="2987" w:type="dxa"/>
          </w:tcPr>
          <w:p w14:paraId="52A5ED31"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Insertion of ‘praxis’ and Pollard, 2011</w:t>
            </w:r>
          </w:p>
        </w:tc>
      </w:tr>
      <w:tr w:rsidR="001142E9" w14:paraId="52A5ED40" w14:textId="77777777">
        <w:tc>
          <w:tcPr>
            <w:tcW w:w="881" w:type="dxa"/>
          </w:tcPr>
          <w:p w14:paraId="52A5ED33"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65-66</w:t>
            </w:r>
          </w:p>
        </w:tc>
        <w:tc>
          <w:tcPr>
            <w:tcW w:w="1328" w:type="dxa"/>
          </w:tcPr>
          <w:p w14:paraId="52A5ED34"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47</w:t>
            </w:r>
          </w:p>
        </w:tc>
        <w:tc>
          <w:tcPr>
            <w:tcW w:w="3392" w:type="dxa"/>
          </w:tcPr>
          <w:p w14:paraId="52A5ED35" w14:textId="77777777" w:rsidR="001142E9" w:rsidRDefault="002B3BB7">
            <w:pPr>
              <w:contextualSpacing/>
              <w:rPr>
                <w:rFonts w:ascii="Arial" w:hAnsi="Arial" w:cs="Arial"/>
                <w:sz w:val="22"/>
                <w:szCs w:val="22"/>
              </w:rPr>
            </w:pPr>
            <w:r>
              <w:rPr>
                <w:rFonts w:ascii="Arial" w:eastAsia="Aptos" w:hAnsi="Arial" w:cs="Arial"/>
                <w:sz w:val="22"/>
                <w:szCs w:val="22"/>
              </w:rPr>
              <w:t xml:space="preserve">The development of the reflective practitioner is a continuous and somewhat never-ending process (Rodgers and Raider-Roth, 2006) as personal evaluation involves continuous and cyclical re-examining (Holstein and Gubrium, 2000) over significant periods. This could be considered as a process that shifts from fixed beliefs, in relation to aspects of culture, feelings, history, prejudices and values concerning aspects of differentiation (Kagan, 1992). </w:t>
            </w:r>
          </w:p>
          <w:p w14:paraId="52A5ED36" w14:textId="77777777" w:rsidR="001142E9" w:rsidRDefault="001142E9">
            <w:pPr>
              <w:contextualSpacing/>
              <w:rPr>
                <w:rFonts w:ascii="Arial" w:hAnsi="Arial" w:cs="Arial"/>
                <w:sz w:val="22"/>
                <w:szCs w:val="22"/>
              </w:rPr>
            </w:pPr>
          </w:p>
          <w:p w14:paraId="52A5ED37" w14:textId="77777777" w:rsidR="001142E9" w:rsidRDefault="001142E9">
            <w:pPr>
              <w:contextualSpacing/>
              <w:rPr>
                <w:rFonts w:ascii="Arial" w:hAnsi="Arial" w:cs="Arial"/>
                <w:sz w:val="22"/>
                <w:szCs w:val="22"/>
              </w:rPr>
            </w:pPr>
          </w:p>
          <w:p w14:paraId="52A5ED38" w14:textId="77777777" w:rsidR="001142E9" w:rsidRDefault="001142E9">
            <w:pPr>
              <w:spacing w:after="0" w:line="240" w:lineRule="auto"/>
              <w:contextualSpacing/>
              <w:rPr>
                <w:rFonts w:ascii="Arial" w:hAnsi="Arial" w:cs="Arial"/>
                <w:color w:val="000000"/>
                <w:sz w:val="22"/>
                <w:szCs w:val="22"/>
              </w:rPr>
            </w:pPr>
          </w:p>
        </w:tc>
        <w:tc>
          <w:tcPr>
            <w:tcW w:w="3399" w:type="dxa"/>
          </w:tcPr>
          <w:p w14:paraId="52A5ED39" w14:textId="77777777" w:rsidR="001142E9" w:rsidRDefault="002B3BB7">
            <w:pPr>
              <w:contextualSpacing/>
              <w:rPr>
                <w:rFonts w:ascii="Arial" w:hAnsi="Arial" w:cs="Arial"/>
                <w:sz w:val="22"/>
                <w:szCs w:val="22"/>
              </w:rPr>
            </w:pPr>
            <w:r>
              <w:rPr>
                <w:rFonts w:ascii="Arial" w:eastAsia="Aptos" w:hAnsi="Arial" w:cs="Arial"/>
                <w:sz w:val="22"/>
                <w:szCs w:val="22"/>
              </w:rPr>
              <w:t xml:space="preserve">The development of “knowing oneself is a never ending process‟ (Rodgers and Raider-Roth, 2006: 271) as aspects of self are “re-storied‟ (Holstein and Gubrium, 2000), shift and evolve over time. </w:t>
            </w:r>
          </w:p>
          <w:p w14:paraId="52A5ED3A" w14:textId="77777777" w:rsidR="001142E9" w:rsidRDefault="001142E9">
            <w:pPr>
              <w:contextualSpacing/>
              <w:rPr>
                <w:rFonts w:ascii="Arial" w:hAnsi="Arial" w:cs="Arial"/>
                <w:sz w:val="22"/>
                <w:szCs w:val="22"/>
              </w:rPr>
            </w:pPr>
          </w:p>
          <w:p w14:paraId="52A5ED3B" w14:textId="77777777" w:rsidR="001142E9" w:rsidRDefault="001142E9">
            <w:pPr>
              <w:contextualSpacing/>
              <w:rPr>
                <w:rFonts w:ascii="Arial" w:hAnsi="Arial" w:cs="Arial"/>
                <w:sz w:val="22"/>
                <w:szCs w:val="22"/>
              </w:rPr>
            </w:pPr>
          </w:p>
          <w:p w14:paraId="52A5ED3C" w14:textId="77777777" w:rsidR="001142E9" w:rsidRDefault="002B3BB7">
            <w:pPr>
              <w:contextualSpacing/>
              <w:rPr>
                <w:rFonts w:ascii="Arial" w:hAnsi="Arial" w:cs="Arial"/>
                <w:sz w:val="22"/>
                <w:szCs w:val="22"/>
              </w:rPr>
            </w:pPr>
            <w:r>
              <w:rPr>
                <w:rFonts w:ascii="Arial" w:eastAsia="Aptos" w:hAnsi="Arial" w:cs="Arial"/>
                <w:sz w:val="22"/>
                <w:szCs w:val="22"/>
              </w:rPr>
              <w:t xml:space="preserve">This can be viewed as a process that moves from „embeddedness‟ in relation to beliefs, culture, feelings, history, prejudices and values, and varied contexts which give rise to these, toward “differentiation‟ (Kagan, 1992) wherein these beliefs, culture and feelings can be observed as objects, rather than being subject to them. </w:t>
            </w:r>
          </w:p>
          <w:p w14:paraId="52A5ED3D" w14:textId="77777777" w:rsidR="001142E9" w:rsidRDefault="001142E9">
            <w:pPr>
              <w:spacing w:after="0" w:line="240" w:lineRule="auto"/>
              <w:contextualSpacing/>
              <w:rPr>
                <w:rFonts w:ascii="Arial" w:hAnsi="Arial" w:cs="Arial"/>
                <w:color w:val="000000"/>
                <w:sz w:val="22"/>
                <w:szCs w:val="22"/>
              </w:rPr>
            </w:pPr>
          </w:p>
        </w:tc>
        <w:tc>
          <w:tcPr>
            <w:tcW w:w="1960" w:type="dxa"/>
          </w:tcPr>
          <w:p w14:paraId="52A5ED3E"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 and close paraphrase; use of same references</w:t>
            </w:r>
          </w:p>
        </w:tc>
        <w:tc>
          <w:tcPr>
            <w:tcW w:w="2987" w:type="dxa"/>
          </w:tcPr>
          <w:p w14:paraId="52A5ED3F"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Note use of Rodgers and Raider-Roth, followed by Holstein and Gubrium, then Kaga; paraphrases include ‘reflective practitioner’ for ‘knowing oneself’; ‘personal evaluation’ for ‘aspects of self are “re-storied‟; ‘shift and evolve over time’ becomes ‘involves continuous and cyclical re-examining’</w:t>
            </w:r>
          </w:p>
        </w:tc>
      </w:tr>
      <w:tr w:rsidR="001142E9" w14:paraId="52A5ED4D" w14:textId="77777777">
        <w:tc>
          <w:tcPr>
            <w:tcW w:w="881" w:type="dxa"/>
          </w:tcPr>
          <w:p w14:paraId="52A5ED41"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66</w:t>
            </w:r>
          </w:p>
        </w:tc>
        <w:tc>
          <w:tcPr>
            <w:tcW w:w="1328" w:type="dxa"/>
          </w:tcPr>
          <w:p w14:paraId="52A5ED42"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48</w:t>
            </w:r>
          </w:p>
        </w:tc>
        <w:tc>
          <w:tcPr>
            <w:tcW w:w="3392" w:type="dxa"/>
          </w:tcPr>
          <w:p w14:paraId="52A5ED43" w14:textId="77777777" w:rsidR="001142E9" w:rsidRDefault="002B3BB7">
            <w:pPr>
              <w:contextualSpacing/>
              <w:rPr>
                <w:rFonts w:ascii="Arial" w:hAnsi="Arial" w:cs="Arial"/>
                <w:sz w:val="22"/>
                <w:szCs w:val="22"/>
              </w:rPr>
            </w:pPr>
            <w:r>
              <w:rPr>
                <w:rFonts w:ascii="Arial" w:eastAsia="Aptos" w:hAnsi="Arial" w:cs="Arial"/>
                <w:sz w:val="22"/>
                <w:szCs w:val="22"/>
              </w:rPr>
              <w:t xml:space="preserve">A critical self-awareness is pivotal towards such professional growth (Dewey, 1933; Lipka and Brinthaupt, 1999; Pollard, 2011; Zembylas, 2003). </w:t>
            </w:r>
          </w:p>
          <w:p w14:paraId="52A5ED44" w14:textId="77777777" w:rsidR="001142E9" w:rsidRDefault="002B3BB7">
            <w:pPr>
              <w:contextualSpacing/>
              <w:rPr>
                <w:rFonts w:ascii="Arial" w:hAnsi="Arial" w:cs="Arial"/>
                <w:sz w:val="22"/>
                <w:szCs w:val="22"/>
              </w:rPr>
            </w:pPr>
            <w:r>
              <w:rPr>
                <w:rFonts w:ascii="Arial" w:eastAsia="Aptos" w:hAnsi="Arial" w:cs="Arial"/>
                <w:sz w:val="22"/>
                <w:szCs w:val="22"/>
              </w:rPr>
              <w:t>When student teachers allow themselves to be immersed in such professional growth, such self-awareness can be accelerated, as learners’ responses often provide the barometer towards the extent of professional growth as learners are the recipients of such commitment towards developing professionally (Raider-Roth et al., 2012).</w:t>
            </w:r>
          </w:p>
          <w:p w14:paraId="52A5ED45" w14:textId="77777777" w:rsidR="001142E9" w:rsidRDefault="001142E9">
            <w:pPr>
              <w:spacing w:after="0" w:line="240" w:lineRule="auto"/>
              <w:contextualSpacing/>
              <w:rPr>
                <w:rFonts w:ascii="Arial" w:hAnsi="Arial" w:cs="Arial"/>
                <w:color w:val="000000"/>
                <w:sz w:val="22"/>
                <w:szCs w:val="22"/>
              </w:rPr>
            </w:pPr>
          </w:p>
        </w:tc>
        <w:tc>
          <w:tcPr>
            <w:tcW w:w="3399" w:type="dxa"/>
          </w:tcPr>
          <w:p w14:paraId="52A5ED46" w14:textId="77777777" w:rsidR="001142E9" w:rsidRDefault="002B3BB7">
            <w:pPr>
              <w:contextualSpacing/>
              <w:rPr>
                <w:rFonts w:ascii="Arial" w:hAnsi="Arial" w:cs="Arial"/>
                <w:sz w:val="22"/>
                <w:szCs w:val="22"/>
              </w:rPr>
            </w:pPr>
            <w:r>
              <w:rPr>
                <w:rFonts w:ascii="Arial" w:eastAsia="Aptos" w:hAnsi="Arial" w:cs="Arial"/>
                <w:sz w:val="22"/>
                <w:szCs w:val="22"/>
              </w:rPr>
              <w:t xml:space="preserve">A critical self-awareness is key to such growth (Dewey, 1933: Lipka and Brinthaupt, 1999; Palmer, 1998; Zembylas, 2003). </w:t>
            </w:r>
          </w:p>
          <w:p w14:paraId="52A5ED47" w14:textId="77777777" w:rsidR="001142E9" w:rsidRDefault="001142E9">
            <w:pPr>
              <w:contextualSpacing/>
              <w:rPr>
                <w:rFonts w:ascii="Arial" w:hAnsi="Arial" w:cs="Arial"/>
                <w:sz w:val="22"/>
                <w:szCs w:val="22"/>
              </w:rPr>
            </w:pPr>
          </w:p>
          <w:p w14:paraId="52A5ED48" w14:textId="77777777" w:rsidR="001142E9" w:rsidRDefault="001142E9">
            <w:pPr>
              <w:contextualSpacing/>
              <w:rPr>
                <w:rFonts w:ascii="Arial" w:hAnsi="Arial" w:cs="Arial"/>
                <w:sz w:val="22"/>
                <w:szCs w:val="22"/>
              </w:rPr>
            </w:pPr>
          </w:p>
          <w:p w14:paraId="52A5ED49" w14:textId="77777777" w:rsidR="001142E9" w:rsidRDefault="002B3BB7">
            <w:pPr>
              <w:contextualSpacing/>
              <w:rPr>
                <w:rFonts w:ascii="Arial" w:hAnsi="Arial" w:cs="Arial"/>
                <w:sz w:val="22"/>
                <w:szCs w:val="22"/>
              </w:rPr>
            </w:pPr>
            <w:r>
              <w:rPr>
                <w:rFonts w:ascii="Arial" w:eastAsia="Aptos" w:hAnsi="Arial" w:cs="Arial"/>
                <w:sz w:val="22"/>
                <w:szCs w:val="22"/>
              </w:rPr>
              <w:t xml:space="preserve">When student teachers allow themselves to be present both with and to pupils, such awareness can be accelerated, as pupils‟ responses often provide the windows to their self-knowledge (Rodgers et al, 2006). </w:t>
            </w:r>
          </w:p>
          <w:p w14:paraId="52A5ED4A" w14:textId="77777777" w:rsidR="001142E9" w:rsidRDefault="001142E9">
            <w:pPr>
              <w:spacing w:after="0" w:line="240" w:lineRule="auto"/>
              <w:contextualSpacing/>
              <w:rPr>
                <w:rFonts w:ascii="Arial" w:hAnsi="Arial" w:cs="Arial"/>
                <w:color w:val="000000"/>
                <w:sz w:val="22"/>
                <w:szCs w:val="22"/>
              </w:rPr>
            </w:pPr>
          </w:p>
        </w:tc>
        <w:tc>
          <w:tcPr>
            <w:tcW w:w="1960" w:type="dxa"/>
          </w:tcPr>
          <w:p w14:paraId="52A5ED4B"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text/small paraphrase followed by identical literature list to Z-M, followed by verbatim text and close paraphrase</w:t>
            </w:r>
          </w:p>
        </w:tc>
        <w:tc>
          <w:tcPr>
            <w:tcW w:w="2987" w:type="dxa"/>
          </w:tcPr>
          <w:p w14:paraId="52A5ED4C"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Note mention of Zemblylas in both Arday and Z-M theses; Paraphrase starts with ‘pivotal’ for ‘key’; ‘present’ becomes ‘immersed in’; ‘pupils’ become ‘learners’; windows to their self-knowledge becomes ‘barometer towards the extent of professional growth as learners’</w:t>
            </w:r>
          </w:p>
        </w:tc>
      </w:tr>
      <w:tr w:rsidR="001142E9" w14:paraId="52A5ED58" w14:textId="77777777">
        <w:tc>
          <w:tcPr>
            <w:tcW w:w="881" w:type="dxa"/>
          </w:tcPr>
          <w:p w14:paraId="52A5ED4E"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66</w:t>
            </w:r>
          </w:p>
        </w:tc>
        <w:tc>
          <w:tcPr>
            <w:tcW w:w="1328" w:type="dxa"/>
          </w:tcPr>
          <w:p w14:paraId="52A5ED4F"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48</w:t>
            </w:r>
          </w:p>
        </w:tc>
        <w:tc>
          <w:tcPr>
            <w:tcW w:w="3392" w:type="dxa"/>
          </w:tcPr>
          <w:p w14:paraId="52A5ED50" w14:textId="77777777" w:rsidR="001142E9" w:rsidRDefault="002B3BB7">
            <w:pPr>
              <w:contextualSpacing/>
              <w:rPr>
                <w:rFonts w:ascii="Arial" w:hAnsi="Arial" w:cs="Arial"/>
                <w:sz w:val="22"/>
                <w:szCs w:val="22"/>
              </w:rPr>
            </w:pPr>
            <w:r>
              <w:rPr>
                <w:rFonts w:ascii="Arial" w:eastAsia="Aptos" w:hAnsi="Arial" w:cs="Arial"/>
                <w:sz w:val="22"/>
                <w:szCs w:val="22"/>
              </w:rPr>
              <w:t xml:space="preserve">This resonates with Belenky et al., (1986: 227) notion of ‘connected teaching’ as a means to intrigue the perspectives within each learner. The interrelatedness between teaching and learning requires student teachers to reflect upon pupil learning and development, specifically, to better understand the rationale concerning conclusions drawn about their own teaching (Loughran, 2010). </w:t>
            </w:r>
          </w:p>
          <w:p w14:paraId="52A5ED51" w14:textId="77777777" w:rsidR="001142E9" w:rsidRDefault="001142E9">
            <w:pPr>
              <w:spacing w:after="0" w:line="240" w:lineRule="auto"/>
              <w:contextualSpacing/>
              <w:rPr>
                <w:rFonts w:ascii="Arial" w:hAnsi="Arial" w:cs="Arial"/>
                <w:color w:val="000000"/>
                <w:sz w:val="22"/>
                <w:szCs w:val="22"/>
              </w:rPr>
            </w:pPr>
          </w:p>
        </w:tc>
        <w:tc>
          <w:tcPr>
            <w:tcW w:w="3399" w:type="dxa"/>
          </w:tcPr>
          <w:p w14:paraId="52A5ED52" w14:textId="77777777" w:rsidR="001142E9" w:rsidRDefault="002B3BB7">
            <w:pPr>
              <w:contextualSpacing/>
              <w:rPr>
                <w:rFonts w:ascii="Arial" w:hAnsi="Arial" w:cs="Arial"/>
                <w:sz w:val="22"/>
                <w:szCs w:val="22"/>
              </w:rPr>
            </w:pPr>
            <w:r>
              <w:rPr>
                <w:rFonts w:ascii="Arial" w:eastAsia="Aptos" w:hAnsi="Arial" w:cs="Arial"/>
                <w:sz w:val="22"/>
                <w:szCs w:val="22"/>
              </w:rPr>
              <w:t>This has synergy with Belenky et al’s (1986 227) notion of “connected teaching‟ as a means to enter into the perspectives of each pupil. The interrelationship between teaching and learning necessarily calls upon student teachers to reflect upon pupil learning and development so as to better understand reasons behind the outcomes of their own teaching.</w:t>
            </w:r>
          </w:p>
          <w:p w14:paraId="52A5ED53" w14:textId="77777777" w:rsidR="001142E9" w:rsidRDefault="001142E9">
            <w:pPr>
              <w:spacing w:after="0" w:line="240" w:lineRule="auto"/>
              <w:contextualSpacing/>
              <w:rPr>
                <w:rFonts w:ascii="Arial" w:hAnsi="Arial" w:cs="Arial"/>
                <w:color w:val="000000"/>
                <w:sz w:val="22"/>
                <w:szCs w:val="22"/>
              </w:rPr>
            </w:pPr>
          </w:p>
        </w:tc>
        <w:tc>
          <w:tcPr>
            <w:tcW w:w="1960" w:type="dxa"/>
          </w:tcPr>
          <w:p w14:paraId="52A5ED54"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Close paraphrase, same reference to Belenky, followed by extensive paraphrase/verbatim text</w:t>
            </w:r>
          </w:p>
        </w:tc>
        <w:tc>
          <w:tcPr>
            <w:tcW w:w="2987" w:type="dxa"/>
          </w:tcPr>
          <w:p w14:paraId="52A5ED55" w14:textId="77777777" w:rsidR="001142E9" w:rsidRDefault="002B3BB7">
            <w:pPr>
              <w:contextualSpacing/>
              <w:rPr>
                <w:rFonts w:ascii="Arial" w:hAnsi="Arial" w:cs="Arial"/>
                <w:sz w:val="22"/>
                <w:szCs w:val="22"/>
              </w:rPr>
            </w:pPr>
            <w:r>
              <w:rPr>
                <w:rFonts w:ascii="Arial" w:eastAsia="Aptos" w:hAnsi="Arial" w:cs="Arial"/>
                <w:sz w:val="22"/>
                <w:szCs w:val="22"/>
              </w:rPr>
              <w:t>Paraphrases include ‘resonates with’ for ‘has synergy with’; ‘enter into’ becomes ‘intrigue’; ‘interrelationship’ becomes ‘interrelatedness’; ‘understand reasons behind the outcomes’ becomes ‘understand the rationale concerning conclusions drawn about’</w:t>
            </w:r>
          </w:p>
          <w:p w14:paraId="52A5ED56" w14:textId="77777777" w:rsidR="001142E9" w:rsidRDefault="001142E9">
            <w:pPr>
              <w:contextualSpacing/>
              <w:rPr>
                <w:rFonts w:ascii="Arial" w:hAnsi="Arial" w:cs="Arial"/>
                <w:sz w:val="22"/>
                <w:szCs w:val="22"/>
              </w:rPr>
            </w:pPr>
          </w:p>
          <w:p w14:paraId="52A5ED57" w14:textId="77777777" w:rsidR="001142E9" w:rsidRDefault="001142E9">
            <w:pPr>
              <w:spacing w:after="0" w:line="240" w:lineRule="auto"/>
              <w:contextualSpacing/>
              <w:rPr>
                <w:rFonts w:ascii="Arial" w:eastAsia="Aptos" w:hAnsi="Arial" w:cs="Arial"/>
                <w:sz w:val="22"/>
                <w:szCs w:val="22"/>
              </w:rPr>
            </w:pPr>
          </w:p>
        </w:tc>
      </w:tr>
      <w:tr w:rsidR="001142E9" w14:paraId="52A5ED62" w14:textId="77777777">
        <w:tc>
          <w:tcPr>
            <w:tcW w:w="881" w:type="dxa"/>
          </w:tcPr>
          <w:p w14:paraId="52A5ED59"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66</w:t>
            </w:r>
          </w:p>
        </w:tc>
        <w:tc>
          <w:tcPr>
            <w:tcW w:w="1328" w:type="dxa"/>
          </w:tcPr>
          <w:p w14:paraId="52A5ED5A"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48</w:t>
            </w:r>
          </w:p>
        </w:tc>
        <w:tc>
          <w:tcPr>
            <w:tcW w:w="3392" w:type="dxa"/>
          </w:tcPr>
          <w:p w14:paraId="52A5ED5B"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Through practitioner engagement in professional development, aspects of practical learning are continuously constructed and reconstructed, in order to refine teaching practice. Bruner (1990) notes that practitioners engage in this by resorting to previous experience and using this to inform future apprehensions.</w:t>
            </w:r>
          </w:p>
        </w:tc>
        <w:tc>
          <w:tcPr>
            <w:tcW w:w="3399" w:type="dxa"/>
          </w:tcPr>
          <w:p w14:paraId="52A5ED5C" w14:textId="77777777" w:rsidR="001142E9" w:rsidRDefault="002B3BB7">
            <w:pPr>
              <w:contextualSpacing/>
              <w:rPr>
                <w:rFonts w:ascii="Arial" w:hAnsi="Arial" w:cs="Arial"/>
                <w:sz w:val="22"/>
                <w:szCs w:val="22"/>
              </w:rPr>
            </w:pPr>
            <w:r>
              <w:rPr>
                <w:rFonts w:ascii="Arial" w:eastAsia="Aptos" w:hAnsi="Arial" w:cs="Arial"/>
                <w:sz w:val="22"/>
                <w:szCs w:val="22"/>
              </w:rPr>
              <w:t>Throughout professional development, we constantly construct and reconstruct our own selves in order to confront situations. We do this by resorting to memory of the past and considering hopes and fears about the future (Bruner, 1990). Therefore, explaining ourselves to ourselves is like creating a story about who and how we are and how and why we do what we do.</w:t>
            </w:r>
          </w:p>
          <w:p w14:paraId="52A5ED5D" w14:textId="77777777" w:rsidR="001142E9" w:rsidRDefault="001142E9">
            <w:pPr>
              <w:contextualSpacing/>
              <w:rPr>
                <w:rFonts w:ascii="Arial" w:hAnsi="Arial" w:cs="Arial"/>
                <w:sz w:val="22"/>
                <w:szCs w:val="22"/>
              </w:rPr>
            </w:pPr>
          </w:p>
          <w:p w14:paraId="52A5ED5E" w14:textId="77777777" w:rsidR="001142E9" w:rsidRDefault="001142E9">
            <w:pPr>
              <w:spacing w:after="0" w:line="240" w:lineRule="auto"/>
              <w:contextualSpacing/>
              <w:rPr>
                <w:rFonts w:ascii="Arial" w:hAnsi="Arial" w:cs="Arial"/>
                <w:color w:val="000000"/>
                <w:sz w:val="22"/>
                <w:szCs w:val="22"/>
              </w:rPr>
            </w:pPr>
          </w:p>
        </w:tc>
        <w:tc>
          <w:tcPr>
            <w:tcW w:w="1960" w:type="dxa"/>
          </w:tcPr>
          <w:p w14:paraId="52A5ED5F"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Extensive paraphrase, uses same reference to Bruner 1990; extensive paraphrase</w:t>
            </w:r>
          </w:p>
        </w:tc>
        <w:tc>
          <w:tcPr>
            <w:tcW w:w="2987" w:type="dxa"/>
          </w:tcPr>
          <w:p w14:paraId="52A5ED60" w14:textId="77777777" w:rsidR="001142E9" w:rsidRDefault="002B3BB7">
            <w:pPr>
              <w:contextualSpacing/>
              <w:rPr>
                <w:rFonts w:ascii="Arial" w:hAnsi="Arial" w:cs="Arial"/>
                <w:sz w:val="22"/>
                <w:szCs w:val="22"/>
              </w:rPr>
            </w:pPr>
            <w:r>
              <w:rPr>
                <w:rFonts w:ascii="Arial" w:eastAsia="Aptos" w:hAnsi="Arial" w:cs="Arial"/>
                <w:sz w:val="22"/>
                <w:szCs w:val="22"/>
              </w:rPr>
              <w:t>Paraphrases include; ‘in order to confront situations’ becomes ‘in order to refine teaching practice’; ‘resorting to memory of the past and considering hopes and fears’ becomes ‘resorting to previous experience and using this to inform future apprehensions’</w:t>
            </w:r>
          </w:p>
          <w:p w14:paraId="52A5ED61"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 xml:space="preserve"> </w:t>
            </w:r>
          </w:p>
        </w:tc>
      </w:tr>
      <w:tr w:rsidR="001142E9" w14:paraId="52A5ED85" w14:textId="77777777">
        <w:tc>
          <w:tcPr>
            <w:tcW w:w="881" w:type="dxa"/>
          </w:tcPr>
          <w:p w14:paraId="52A5ED63"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66</w:t>
            </w:r>
          </w:p>
        </w:tc>
        <w:tc>
          <w:tcPr>
            <w:tcW w:w="1328" w:type="dxa"/>
          </w:tcPr>
          <w:p w14:paraId="52A5ED64"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48</w:t>
            </w:r>
          </w:p>
        </w:tc>
        <w:tc>
          <w:tcPr>
            <w:tcW w:w="3392" w:type="dxa"/>
          </w:tcPr>
          <w:p w14:paraId="52A5ED65"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Therefore, self-reflection identifies with a story about, whom and how we are, and why we engage in certain experiences. Zwozdiak-Myers (2012) utilises Elliott’s (2005: 124)  conception to assert that through self-study there are ‘new possibilities for qualitative research to focus on the everyday practices by which individuals constantly construct and reconstruct their sense of individual identity’. </w:t>
            </w:r>
          </w:p>
          <w:p w14:paraId="52A5ED66" w14:textId="77777777" w:rsidR="001142E9" w:rsidRDefault="001142E9">
            <w:pPr>
              <w:spacing w:after="0" w:line="240" w:lineRule="auto"/>
              <w:rPr>
                <w:rFonts w:ascii="Arial" w:hAnsi="Arial" w:cs="Arial"/>
                <w:color w:val="000000"/>
                <w:sz w:val="22"/>
                <w:szCs w:val="22"/>
              </w:rPr>
            </w:pPr>
          </w:p>
          <w:p w14:paraId="52A5ED67"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Through such engagement of personal experiences student teachers engage in discourse which allows them to unpick and explore vulnerabilities, beliefs and values and take measure of the specific reservations related towards their experience (Ellis and Bochner, 2000). </w:t>
            </w:r>
          </w:p>
          <w:p w14:paraId="52A5ED68" w14:textId="77777777" w:rsidR="001142E9" w:rsidRDefault="001142E9">
            <w:pPr>
              <w:spacing w:after="0" w:line="240" w:lineRule="auto"/>
              <w:rPr>
                <w:rFonts w:ascii="Arial" w:hAnsi="Arial" w:cs="Arial"/>
                <w:color w:val="000000"/>
                <w:sz w:val="22"/>
                <w:szCs w:val="22"/>
              </w:rPr>
            </w:pPr>
          </w:p>
        </w:tc>
        <w:tc>
          <w:tcPr>
            <w:tcW w:w="3399" w:type="dxa"/>
          </w:tcPr>
          <w:p w14:paraId="52A5ED69"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Through self-study there are “new possibilities for qualitative research to focus on the everyday practices by which individuals constantly construct and reconstruct their sense of individual identity‟ (Elliott, 2005: 124). </w:t>
            </w:r>
          </w:p>
          <w:p w14:paraId="52A5ED6A" w14:textId="77777777" w:rsidR="001142E9" w:rsidRDefault="001142E9">
            <w:pPr>
              <w:spacing w:after="0" w:line="240" w:lineRule="auto"/>
              <w:rPr>
                <w:rFonts w:ascii="Arial" w:hAnsi="Arial" w:cs="Arial"/>
                <w:color w:val="000000"/>
                <w:sz w:val="22"/>
                <w:szCs w:val="22"/>
              </w:rPr>
            </w:pPr>
          </w:p>
          <w:p w14:paraId="52A5ED6B" w14:textId="77777777" w:rsidR="001142E9" w:rsidRDefault="001142E9">
            <w:pPr>
              <w:spacing w:after="0" w:line="240" w:lineRule="auto"/>
              <w:rPr>
                <w:rFonts w:ascii="Arial" w:hAnsi="Arial" w:cs="Arial"/>
                <w:color w:val="000000"/>
                <w:sz w:val="22"/>
                <w:szCs w:val="22"/>
              </w:rPr>
            </w:pPr>
          </w:p>
          <w:p w14:paraId="52A5ED6C" w14:textId="77777777" w:rsidR="001142E9" w:rsidRDefault="001142E9">
            <w:pPr>
              <w:spacing w:after="0" w:line="240" w:lineRule="auto"/>
              <w:rPr>
                <w:rFonts w:ascii="Arial" w:hAnsi="Arial" w:cs="Arial"/>
                <w:color w:val="000000"/>
                <w:sz w:val="22"/>
                <w:szCs w:val="22"/>
              </w:rPr>
            </w:pPr>
          </w:p>
          <w:p w14:paraId="52A5ED6D" w14:textId="77777777" w:rsidR="001142E9" w:rsidRDefault="001142E9">
            <w:pPr>
              <w:spacing w:after="0" w:line="240" w:lineRule="auto"/>
              <w:rPr>
                <w:rFonts w:ascii="Arial" w:hAnsi="Arial" w:cs="Arial"/>
                <w:color w:val="000000"/>
                <w:sz w:val="22"/>
                <w:szCs w:val="22"/>
              </w:rPr>
            </w:pPr>
          </w:p>
          <w:p w14:paraId="52A5ED6E" w14:textId="77777777" w:rsidR="001142E9" w:rsidRDefault="001142E9">
            <w:pPr>
              <w:spacing w:after="0" w:line="240" w:lineRule="auto"/>
              <w:rPr>
                <w:rFonts w:ascii="Arial" w:hAnsi="Arial" w:cs="Arial"/>
                <w:color w:val="000000"/>
                <w:sz w:val="22"/>
                <w:szCs w:val="22"/>
              </w:rPr>
            </w:pPr>
          </w:p>
          <w:p w14:paraId="52A5ED6F" w14:textId="77777777" w:rsidR="001142E9" w:rsidRDefault="001142E9">
            <w:pPr>
              <w:spacing w:after="0" w:line="240" w:lineRule="auto"/>
              <w:rPr>
                <w:rFonts w:ascii="Arial" w:hAnsi="Arial" w:cs="Arial"/>
                <w:color w:val="000000"/>
                <w:sz w:val="22"/>
                <w:szCs w:val="22"/>
              </w:rPr>
            </w:pPr>
          </w:p>
          <w:p w14:paraId="52A5ED70" w14:textId="77777777" w:rsidR="001142E9" w:rsidRDefault="001142E9">
            <w:pPr>
              <w:spacing w:after="0" w:line="240" w:lineRule="auto"/>
              <w:rPr>
                <w:rFonts w:ascii="Arial" w:hAnsi="Arial" w:cs="Arial"/>
                <w:color w:val="000000"/>
                <w:sz w:val="22"/>
                <w:szCs w:val="22"/>
              </w:rPr>
            </w:pPr>
          </w:p>
          <w:p w14:paraId="52A5ED71"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In writing and speaking of personal experiences student teachers‟ engage in discourse which can explore “vulnerabilities, conflicts, choices and values‟ and take measure of the „uncertainties, mixed emotions, and multiple layers‟ (Ellis and Bochner, 2000: 748) of their experience</w:t>
            </w:r>
          </w:p>
        </w:tc>
        <w:tc>
          <w:tcPr>
            <w:tcW w:w="1960" w:type="dxa"/>
          </w:tcPr>
          <w:p w14:paraId="52A5ED72"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 xml:space="preserve">Extensive paraphrase (self-reflection for self-study, etc) identical references, uses Z-M’s 2012 book for verbatim text taken from 2009 thesis </w:t>
            </w:r>
          </w:p>
          <w:p w14:paraId="52A5ED73" w14:textId="77777777" w:rsidR="001142E9" w:rsidRDefault="001142E9">
            <w:pPr>
              <w:spacing w:after="0" w:line="240" w:lineRule="auto"/>
              <w:rPr>
                <w:rFonts w:ascii="Arial" w:eastAsia="Aptos" w:hAnsi="Arial" w:cs="Arial"/>
                <w:sz w:val="22"/>
                <w:szCs w:val="22"/>
              </w:rPr>
            </w:pPr>
          </w:p>
          <w:p w14:paraId="52A5ED74" w14:textId="77777777" w:rsidR="001142E9" w:rsidRDefault="001142E9">
            <w:pPr>
              <w:spacing w:after="0" w:line="240" w:lineRule="auto"/>
              <w:rPr>
                <w:rFonts w:ascii="Arial" w:eastAsia="Aptos" w:hAnsi="Arial" w:cs="Arial"/>
                <w:sz w:val="22"/>
                <w:szCs w:val="22"/>
              </w:rPr>
            </w:pPr>
          </w:p>
        </w:tc>
        <w:tc>
          <w:tcPr>
            <w:tcW w:w="2987" w:type="dxa"/>
          </w:tcPr>
          <w:p w14:paraId="52A5ED75"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Note similar words: ‘individual identity’; concludes with Ellis and Bochner reference</w:t>
            </w:r>
          </w:p>
          <w:p w14:paraId="52A5ED76" w14:textId="77777777" w:rsidR="001142E9" w:rsidRDefault="001142E9">
            <w:pPr>
              <w:spacing w:after="0" w:line="240" w:lineRule="auto"/>
              <w:rPr>
                <w:rFonts w:ascii="Arial" w:eastAsia="Aptos" w:hAnsi="Arial" w:cs="Arial"/>
                <w:sz w:val="22"/>
                <w:szCs w:val="22"/>
              </w:rPr>
            </w:pPr>
          </w:p>
          <w:p w14:paraId="52A5ED77" w14:textId="77777777" w:rsidR="001142E9" w:rsidRDefault="001142E9">
            <w:pPr>
              <w:spacing w:after="0" w:line="240" w:lineRule="auto"/>
              <w:rPr>
                <w:rFonts w:ascii="Arial" w:eastAsia="Aptos" w:hAnsi="Arial" w:cs="Arial"/>
                <w:sz w:val="22"/>
                <w:szCs w:val="22"/>
              </w:rPr>
            </w:pPr>
          </w:p>
          <w:p w14:paraId="52A5ED78" w14:textId="77777777" w:rsidR="001142E9" w:rsidRDefault="001142E9">
            <w:pPr>
              <w:spacing w:after="0" w:line="240" w:lineRule="auto"/>
              <w:rPr>
                <w:rFonts w:ascii="Arial" w:eastAsia="Aptos" w:hAnsi="Arial" w:cs="Arial"/>
                <w:sz w:val="22"/>
                <w:szCs w:val="22"/>
              </w:rPr>
            </w:pPr>
          </w:p>
          <w:p w14:paraId="52A5ED79" w14:textId="77777777" w:rsidR="001142E9" w:rsidRDefault="001142E9">
            <w:pPr>
              <w:spacing w:after="0" w:line="240" w:lineRule="auto"/>
              <w:rPr>
                <w:rFonts w:ascii="Arial" w:eastAsia="Aptos" w:hAnsi="Arial" w:cs="Arial"/>
                <w:sz w:val="22"/>
                <w:szCs w:val="22"/>
              </w:rPr>
            </w:pPr>
          </w:p>
          <w:p w14:paraId="52A5ED7A" w14:textId="77777777" w:rsidR="001142E9" w:rsidRDefault="001142E9">
            <w:pPr>
              <w:spacing w:after="0" w:line="240" w:lineRule="auto"/>
              <w:rPr>
                <w:rFonts w:ascii="Arial" w:eastAsia="Aptos" w:hAnsi="Arial" w:cs="Arial"/>
                <w:sz w:val="22"/>
                <w:szCs w:val="22"/>
              </w:rPr>
            </w:pPr>
          </w:p>
          <w:p w14:paraId="52A5ED7B" w14:textId="77777777" w:rsidR="001142E9" w:rsidRDefault="001142E9">
            <w:pPr>
              <w:spacing w:after="0" w:line="240" w:lineRule="auto"/>
              <w:rPr>
                <w:rFonts w:ascii="Arial" w:eastAsia="Aptos" w:hAnsi="Arial" w:cs="Arial"/>
                <w:sz w:val="22"/>
                <w:szCs w:val="22"/>
              </w:rPr>
            </w:pPr>
          </w:p>
          <w:p w14:paraId="52A5ED7C" w14:textId="77777777" w:rsidR="001142E9" w:rsidRDefault="001142E9">
            <w:pPr>
              <w:spacing w:after="0" w:line="240" w:lineRule="auto"/>
              <w:rPr>
                <w:rFonts w:ascii="Arial" w:eastAsia="Aptos" w:hAnsi="Arial" w:cs="Arial"/>
                <w:sz w:val="22"/>
                <w:szCs w:val="22"/>
              </w:rPr>
            </w:pPr>
          </w:p>
          <w:p w14:paraId="52A5ED7D" w14:textId="77777777" w:rsidR="001142E9" w:rsidRDefault="001142E9">
            <w:pPr>
              <w:spacing w:after="0" w:line="240" w:lineRule="auto"/>
              <w:rPr>
                <w:rFonts w:ascii="Arial" w:eastAsia="Aptos" w:hAnsi="Arial" w:cs="Arial"/>
                <w:sz w:val="22"/>
                <w:szCs w:val="22"/>
              </w:rPr>
            </w:pPr>
          </w:p>
          <w:p w14:paraId="52A5ED7E" w14:textId="77777777" w:rsidR="001142E9" w:rsidRDefault="001142E9">
            <w:pPr>
              <w:spacing w:after="0" w:line="240" w:lineRule="auto"/>
              <w:rPr>
                <w:rFonts w:ascii="Arial" w:eastAsia="Aptos" w:hAnsi="Arial" w:cs="Arial"/>
                <w:sz w:val="22"/>
                <w:szCs w:val="22"/>
              </w:rPr>
            </w:pPr>
          </w:p>
          <w:p w14:paraId="52A5ED7F" w14:textId="77777777" w:rsidR="001142E9" w:rsidRDefault="001142E9">
            <w:pPr>
              <w:spacing w:after="0" w:line="240" w:lineRule="auto"/>
              <w:rPr>
                <w:rFonts w:ascii="Arial" w:eastAsia="Aptos" w:hAnsi="Arial" w:cs="Arial"/>
                <w:sz w:val="22"/>
                <w:szCs w:val="22"/>
              </w:rPr>
            </w:pPr>
          </w:p>
          <w:p w14:paraId="52A5ED80" w14:textId="77777777" w:rsidR="001142E9" w:rsidRDefault="001142E9">
            <w:pPr>
              <w:spacing w:after="0" w:line="240" w:lineRule="auto"/>
              <w:rPr>
                <w:rFonts w:ascii="Arial" w:eastAsia="Aptos" w:hAnsi="Arial" w:cs="Arial"/>
                <w:sz w:val="22"/>
                <w:szCs w:val="22"/>
              </w:rPr>
            </w:pPr>
          </w:p>
          <w:p w14:paraId="52A5ED81"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Paraphrase: ‘</w:t>
            </w:r>
            <w:r>
              <w:rPr>
                <w:rFonts w:ascii="Arial" w:hAnsi="Arial" w:cs="Arial"/>
                <w:color w:val="000000"/>
                <w:sz w:val="22"/>
                <w:szCs w:val="22"/>
              </w:rPr>
              <w:t>In writing and speaking of’ becomes ‘Through such engagement of’</w:t>
            </w:r>
          </w:p>
          <w:p w14:paraId="52A5ED82" w14:textId="77777777" w:rsidR="001142E9" w:rsidRDefault="001142E9">
            <w:pPr>
              <w:spacing w:after="0" w:line="240" w:lineRule="auto"/>
              <w:rPr>
                <w:rFonts w:ascii="Arial" w:eastAsia="Aptos" w:hAnsi="Arial" w:cs="Arial"/>
                <w:sz w:val="22"/>
                <w:szCs w:val="22"/>
              </w:rPr>
            </w:pPr>
          </w:p>
          <w:p w14:paraId="52A5ED83" w14:textId="77777777" w:rsidR="001142E9" w:rsidRDefault="001142E9">
            <w:pPr>
              <w:spacing w:after="0" w:line="240" w:lineRule="auto"/>
              <w:rPr>
                <w:rFonts w:ascii="Arial" w:eastAsia="Aptos" w:hAnsi="Arial" w:cs="Arial"/>
                <w:sz w:val="22"/>
                <w:szCs w:val="22"/>
              </w:rPr>
            </w:pPr>
          </w:p>
          <w:p w14:paraId="52A5ED84" w14:textId="77777777" w:rsidR="001142E9" w:rsidRDefault="001142E9">
            <w:pPr>
              <w:spacing w:after="0" w:line="240" w:lineRule="auto"/>
              <w:rPr>
                <w:rFonts w:ascii="Arial" w:eastAsia="Aptos" w:hAnsi="Arial" w:cs="Arial"/>
                <w:sz w:val="22"/>
                <w:szCs w:val="22"/>
              </w:rPr>
            </w:pPr>
          </w:p>
        </w:tc>
      </w:tr>
      <w:tr w:rsidR="001142E9" w14:paraId="52A5ED99" w14:textId="77777777">
        <w:tc>
          <w:tcPr>
            <w:tcW w:w="881" w:type="dxa"/>
          </w:tcPr>
          <w:p w14:paraId="52A5ED86"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66</w:t>
            </w:r>
          </w:p>
        </w:tc>
        <w:tc>
          <w:tcPr>
            <w:tcW w:w="1328" w:type="dxa"/>
          </w:tcPr>
          <w:p w14:paraId="52A5ED87"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48</w:t>
            </w:r>
          </w:p>
        </w:tc>
        <w:tc>
          <w:tcPr>
            <w:tcW w:w="3392" w:type="dxa"/>
          </w:tcPr>
          <w:p w14:paraId="52A5ED88"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Reflective conversations can thus become a potent facet in attempting to understand personal practice as student teachers recall and verify their emotions, observations in practice, feelings, ideas and thoughts regarding future experiences (Pollard, 2002). Palmer (1998) claims questions regarding how we construct practice resonate and create coherence between teaching methods and how this is applied within our professional artistry. </w:t>
            </w:r>
          </w:p>
          <w:p w14:paraId="52A5ED89"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His notion concerns itself with the inner self, and more importantly, contends that good teaching comes from the evaluation of self identity rather than standardised technique. </w:t>
            </w:r>
          </w:p>
          <w:p w14:paraId="52A5ED8A" w14:textId="77777777" w:rsidR="001142E9" w:rsidRDefault="001142E9">
            <w:pPr>
              <w:spacing w:after="0" w:line="240" w:lineRule="auto"/>
              <w:rPr>
                <w:rFonts w:ascii="Arial" w:hAnsi="Arial" w:cs="Arial"/>
                <w:color w:val="000000"/>
                <w:sz w:val="22"/>
                <w:szCs w:val="22"/>
              </w:rPr>
            </w:pPr>
          </w:p>
        </w:tc>
        <w:tc>
          <w:tcPr>
            <w:tcW w:w="3399" w:type="dxa"/>
          </w:tcPr>
          <w:p w14:paraId="52A5ED8B"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Reflective conversations can thus become a powerful agent of understanding „self‟ as student teachers recount not only what they observed in a given context, but also their emotions, feelings, ideas and thoughts as to “future possibilities‟ (Pollard, 2002). Palmer (1998) claims questions concerning the what, how and why of teaching are not as important as the “who’ and that there should be coherence between teaching methods and self. His notion of the “inner self‟ purports that good teaching comes from iden</w:t>
            </w:r>
            <w:r>
              <w:rPr>
                <w:rFonts w:ascii="Arial" w:eastAsia="Aptos" w:hAnsi="Arial" w:cs="Arial"/>
                <w:color w:val="000000"/>
                <w:sz w:val="22"/>
                <w:szCs w:val="22"/>
              </w:rPr>
              <w:t xml:space="preserve">tity rather than technique. </w:t>
            </w:r>
          </w:p>
          <w:p w14:paraId="52A5ED8C" w14:textId="77777777" w:rsidR="001142E9" w:rsidRDefault="001142E9">
            <w:pPr>
              <w:spacing w:after="0" w:line="240" w:lineRule="auto"/>
              <w:rPr>
                <w:rFonts w:ascii="Arial" w:hAnsi="Arial" w:cs="Arial"/>
                <w:color w:val="000000"/>
                <w:sz w:val="22"/>
                <w:szCs w:val="22"/>
              </w:rPr>
            </w:pPr>
          </w:p>
        </w:tc>
        <w:tc>
          <w:tcPr>
            <w:tcW w:w="1960" w:type="dxa"/>
          </w:tcPr>
          <w:p w14:paraId="52A5ED8D"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 xml:space="preserve">Near-verbatim, with </w:t>
            </w:r>
          </w:p>
          <w:p w14:paraId="52A5ED8E"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word substitutions</w:t>
            </w:r>
          </w:p>
          <w:p w14:paraId="52A5ED8F" w14:textId="77777777" w:rsidR="001142E9" w:rsidRDefault="001142E9">
            <w:pPr>
              <w:spacing w:after="0" w:line="240" w:lineRule="auto"/>
              <w:rPr>
                <w:rFonts w:ascii="Arial" w:eastAsia="Aptos" w:hAnsi="Arial" w:cs="Arial"/>
                <w:sz w:val="22"/>
                <w:szCs w:val="22"/>
              </w:rPr>
            </w:pPr>
          </w:p>
          <w:p w14:paraId="52A5ED90"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 xml:space="preserve"> </w:t>
            </w:r>
          </w:p>
        </w:tc>
        <w:tc>
          <w:tcPr>
            <w:tcW w:w="2987" w:type="dxa"/>
          </w:tcPr>
          <w:p w14:paraId="52A5ED91"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Note how ‘powerful agent’ becomes ‘potent facet’; ‘future possibilities’ becomes ‘future experiences’; ‘</w:t>
            </w:r>
            <w:r>
              <w:rPr>
                <w:rFonts w:ascii="Arial" w:hAnsi="Arial" w:cs="Arial"/>
                <w:color w:val="000000"/>
                <w:sz w:val="22"/>
                <w:szCs w:val="22"/>
              </w:rPr>
              <w:t>concerning the what, how and why of teaching’ in Z-M becomes ‘how we construct practice’</w:t>
            </w:r>
            <w:r>
              <w:rPr>
                <w:rFonts w:ascii="Arial" w:eastAsia="Aptos" w:hAnsi="Arial" w:cs="Arial"/>
                <w:sz w:val="22"/>
                <w:szCs w:val="22"/>
              </w:rPr>
              <w:t xml:space="preserve">; ‘identity’ becomes ‘self-identity’ </w:t>
            </w:r>
          </w:p>
          <w:p w14:paraId="52A5ED92" w14:textId="77777777" w:rsidR="001142E9" w:rsidRDefault="001142E9">
            <w:pPr>
              <w:spacing w:after="0" w:line="240" w:lineRule="auto"/>
              <w:rPr>
                <w:rFonts w:ascii="Arial" w:eastAsia="Aptos" w:hAnsi="Arial" w:cs="Arial"/>
                <w:sz w:val="22"/>
                <w:szCs w:val="22"/>
              </w:rPr>
            </w:pPr>
          </w:p>
          <w:p w14:paraId="52A5ED93" w14:textId="77777777" w:rsidR="001142E9" w:rsidRDefault="001142E9">
            <w:pPr>
              <w:spacing w:after="0" w:line="240" w:lineRule="auto"/>
              <w:rPr>
                <w:rFonts w:ascii="Arial" w:eastAsia="Aptos" w:hAnsi="Arial" w:cs="Arial"/>
                <w:sz w:val="22"/>
                <w:szCs w:val="22"/>
              </w:rPr>
            </w:pPr>
          </w:p>
          <w:p w14:paraId="52A5ED94" w14:textId="77777777" w:rsidR="001142E9" w:rsidRDefault="001142E9">
            <w:pPr>
              <w:spacing w:after="0" w:line="240" w:lineRule="auto"/>
              <w:rPr>
                <w:rFonts w:ascii="Arial" w:eastAsia="Aptos" w:hAnsi="Arial" w:cs="Arial"/>
                <w:sz w:val="22"/>
                <w:szCs w:val="22"/>
              </w:rPr>
            </w:pPr>
          </w:p>
          <w:p w14:paraId="52A5ED95"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‘purports’ becomes ‘contends’</w:t>
            </w:r>
          </w:p>
          <w:p w14:paraId="52A5ED96" w14:textId="77777777" w:rsidR="001142E9" w:rsidRDefault="001142E9">
            <w:pPr>
              <w:spacing w:after="0" w:line="240" w:lineRule="auto"/>
              <w:rPr>
                <w:rFonts w:ascii="Arial" w:eastAsia="Aptos" w:hAnsi="Arial" w:cs="Arial"/>
                <w:sz w:val="22"/>
                <w:szCs w:val="22"/>
              </w:rPr>
            </w:pPr>
          </w:p>
          <w:p w14:paraId="52A5ED97" w14:textId="77777777" w:rsidR="001142E9" w:rsidRDefault="001142E9">
            <w:pPr>
              <w:spacing w:after="0" w:line="240" w:lineRule="auto"/>
              <w:rPr>
                <w:rFonts w:ascii="Arial" w:eastAsia="Aptos" w:hAnsi="Arial" w:cs="Arial"/>
                <w:sz w:val="22"/>
                <w:szCs w:val="22"/>
              </w:rPr>
            </w:pPr>
          </w:p>
          <w:p w14:paraId="52A5ED98" w14:textId="77777777" w:rsidR="001142E9" w:rsidRDefault="002B3BB7">
            <w:pPr>
              <w:spacing w:after="0" w:line="240" w:lineRule="auto"/>
              <w:rPr>
                <w:rFonts w:ascii="Arial" w:hAnsi="Arial" w:cs="Arial"/>
                <w:color w:val="000000"/>
                <w:sz w:val="22"/>
                <w:szCs w:val="22"/>
              </w:rPr>
            </w:pPr>
            <w:r>
              <w:rPr>
                <w:rFonts w:ascii="Arial" w:eastAsia="Aptos" w:hAnsi="Arial" w:cs="Arial"/>
                <w:sz w:val="22"/>
                <w:szCs w:val="22"/>
              </w:rPr>
              <w:t>‘technique’ becomes ‘standardised technique’</w:t>
            </w:r>
          </w:p>
        </w:tc>
      </w:tr>
      <w:tr w:rsidR="001142E9" w14:paraId="52A5EDA3" w14:textId="77777777">
        <w:tc>
          <w:tcPr>
            <w:tcW w:w="881" w:type="dxa"/>
          </w:tcPr>
          <w:p w14:paraId="52A5ED9A" w14:textId="77777777" w:rsidR="001142E9" w:rsidRDefault="002B3BB7">
            <w:pPr>
              <w:spacing w:after="0" w:line="240" w:lineRule="auto"/>
              <w:rPr>
                <w:rFonts w:ascii="Arial" w:hAnsi="Arial" w:cs="Arial"/>
                <w:sz w:val="22"/>
                <w:szCs w:val="22"/>
              </w:rPr>
            </w:pPr>
            <w:r>
              <w:rPr>
                <w:rFonts w:ascii="Arial" w:eastAsia="Aptos" w:hAnsi="Arial" w:cs="Arial"/>
                <w:sz w:val="22"/>
                <w:szCs w:val="22"/>
              </w:rPr>
              <w:t>66</w:t>
            </w:r>
          </w:p>
        </w:tc>
        <w:tc>
          <w:tcPr>
            <w:tcW w:w="1328" w:type="dxa"/>
          </w:tcPr>
          <w:p w14:paraId="52A5ED9B" w14:textId="77777777" w:rsidR="001142E9" w:rsidRDefault="002B3BB7">
            <w:pPr>
              <w:spacing w:after="0" w:line="240" w:lineRule="auto"/>
              <w:rPr>
                <w:rFonts w:ascii="Arial" w:hAnsi="Arial" w:cs="Arial"/>
                <w:sz w:val="22"/>
                <w:szCs w:val="22"/>
              </w:rPr>
            </w:pPr>
            <w:r>
              <w:rPr>
                <w:rFonts w:ascii="Arial" w:eastAsia="Aptos" w:hAnsi="Arial" w:cs="Arial"/>
                <w:sz w:val="22"/>
                <w:szCs w:val="22"/>
              </w:rPr>
              <w:t>48</w:t>
            </w:r>
          </w:p>
        </w:tc>
        <w:tc>
          <w:tcPr>
            <w:tcW w:w="3392" w:type="dxa"/>
          </w:tcPr>
          <w:p w14:paraId="52A5ED9C"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Palmer (1998) strongly encourages student teachers to have the courage to teach in ways which reflect their personal values, as opposed to conforming to the standardised expectations imposed by institutions.</w:t>
            </w:r>
          </w:p>
          <w:p w14:paraId="52A5ED9D" w14:textId="77777777" w:rsidR="001142E9" w:rsidRDefault="001142E9">
            <w:pPr>
              <w:spacing w:after="0" w:line="240" w:lineRule="auto"/>
              <w:rPr>
                <w:rFonts w:ascii="Arial" w:hAnsi="Arial" w:cs="Arial"/>
                <w:color w:val="000000"/>
                <w:sz w:val="22"/>
                <w:szCs w:val="22"/>
              </w:rPr>
            </w:pPr>
          </w:p>
          <w:p w14:paraId="52A5ED9E" w14:textId="77777777" w:rsidR="001142E9" w:rsidRDefault="001142E9">
            <w:pPr>
              <w:spacing w:after="0" w:line="240" w:lineRule="auto"/>
              <w:rPr>
                <w:rFonts w:ascii="Arial" w:hAnsi="Arial" w:cs="Arial"/>
                <w:color w:val="000000"/>
                <w:sz w:val="22"/>
                <w:szCs w:val="22"/>
              </w:rPr>
            </w:pPr>
          </w:p>
        </w:tc>
        <w:tc>
          <w:tcPr>
            <w:tcW w:w="3399" w:type="dxa"/>
          </w:tcPr>
          <w:p w14:paraId="52A5ED9F"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He strongly urges student teachers to have the courage to teach in ways attuned to their deepest values, as compared to the expectations imposed by institutions.</w:t>
            </w:r>
          </w:p>
        </w:tc>
        <w:tc>
          <w:tcPr>
            <w:tcW w:w="1960" w:type="dxa"/>
          </w:tcPr>
          <w:p w14:paraId="52A5EDA0"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Near-</w:t>
            </w:r>
          </w:p>
          <w:p w14:paraId="52A5EDA1"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verbatim</w:t>
            </w:r>
          </w:p>
        </w:tc>
        <w:tc>
          <w:tcPr>
            <w:tcW w:w="2987" w:type="dxa"/>
          </w:tcPr>
          <w:p w14:paraId="52A5EDA2"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Note final line; identical use of ‘expectations imposed by institutions’</w:t>
            </w:r>
          </w:p>
        </w:tc>
      </w:tr>
      <w:tr w:rsidR="001142E9" w14:paraId="52A5EDAD" w14:textId="77777777">
        <w:tc>
          <w:tcPr>
            <w:tcW w:w="881" w:type="dxa"/>
          </w:tcPr>
          <w:p w14:paraId="52A5EDA4" w14:textId="77777777" w:rsidR="001142E9" w:rsidRDefault="002B3BB7">
            <w:pPr>
              <w:spacing w:after="0" w:line="240" w:lineRule="auto"/>
              <w:rPr>
                <w:rFonts w:ascii="Arial" w:hAnsi="Arial" w:cs="Arial"/>
                <w:sz w:val="22"/>
                <w:szCs w:val="22"/>
              </w:rPr>
            </w:pPr>
            <w:r>
              <w:rPr>
                <w:rFonts w:ascii="Arial" w:eastAsia="Aptos" w:hAnsi="Arial" w:cs="Arial"/>
                <w:sz w:val="22"/>
                <w:szCs w:val="22"/>
              </w:rPr>
              <w:t>66-67</w:t>
            </w:r>
          </w:p>
        </w:tc>
        <w:tc>
          <w:tcPr>
            <w:tcW w:w="1328" w:type="dxa"/>
          </w:tcPr>
          <w:p w14:paraId="52A5EDA5" w14:textId="77777777" w:rsidR="001142E9" w:rsidRDefault="002B3BB7">
            <w:pPr>
              <w:spacing w:after="0" w:line="240" w:lineRule="auto"/>
              <w:rPr>
                <w:rFonts w:ascii="Arial" w:hAnsi="Arial" w:cs="Arial"/>
                <w:sz w:val="22"/>
                <w:szCs w:val="22"/>
              </w:rPr>
            </w:pPr>
            <w:r>
              <w:rPr>
                <w:rFonts w:ascii="Arial" w:eastAsia="Aptos" w:hAnsi="Arial" w:cs="Arial"/>
                <w:sz w:val="22"/>
                <w:szCs w:val="22"/>
              </w:rPr>
              <w:t>123</w:t>
            </w:r>
          </w:p>
        </w:tc>
        <w:tc>
          <w:tcPr>
            <w:tcW w:w="3392" w:type="dxa"/>
          </w:tcPr>
          <w:p w14:paraId="52A5EDA6"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This proposition, however, may reflect rhetoric rather than reality in practice, particularly in situations where standardised and prescribed approaches towards teaching are advocated (Ghaye, 2011; Pollard, 2011). </w:t>
            </w:r>
          </w:p>
          <w:p w14:paraId="52A5EDA7"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Additionally, power relations might challenge and conflict some of the core values held by some student teachers (Zwozdiak-Myers, 2012).</w:t>
            </w:r>
          </w:p>
          <w:p w14:paraId="52A5EDA8" w14:textId="77777777" w:rsidR="001142E9" w:rsidRDefault="001142E9">
            <w:pPr>
              <w:spacing w:after="0" w:line="240" w:lineRule="auto"/>
              <w:rPr>
                <w:rFonts w:ascii="Arial" w:hAnsi="Arial" w:cs="Arial"/>
                <w:color w:val="000000"/>
                <w:sz w:val="22"/>
                <w:szCs w:val="22"/>
              </w:rPr>
            </w:pPr>
          </w:p>
        </w:tc>
        <w:tc>
          <w:tcPr>
            <w:tcW w:w="3399" w:type="dxa"/>
          </w:tcPr>
          <w:p w14:paraId="52A5EDA9"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This proposition, however, may not necessarily be realised in practice, particularly in situations where prescribed approaches to teaching and power relations might challenge the core values held by some student teachers.</w:t>
            </w:r>
          </w:p>
        </w:tc>
        <w:tc>
          <w:tcPr>
            <w:tcW w:w="1960" w:type="dxa"/>
          </w:tcPr>
          <w:p w14:paraId="52A5EDAA"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Variant from direct read-across copying, uses Z-M idea from later chapter (note ‘power relations might challenge’);</w:t>
            </w:r>
          </w:p>
          <w:p w14:paraId="52A5EDAB"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 xml:space="preserve"> insufficient reference to Z-M</w:t>
            </w:r>
          </w:p>
        </w:tc>
        <w:tc>
          <w:tcPr>
            <w:tcW w:w="2987" w:type="dxa"/>
          </w:tcPr>
          <w:p w14:paraId="52A5EDAC"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Note the use of Z-M’s 2012 book ‘The Teacher’s Reflective Practice Handbook’  instead of reference  to Z-M’s 2009 thesis where the text originates</w:t>
            </w:r>
          </w:p>
        </w:tc>
      </w:tr>
      <w:tr w:rsidR="001142E9" w14:paraId="52A5EDD6" w14:textId="77777777">
        <w:tc>
          <w:tcPr>
            <w:tcW w:w="881" w:type="dxa"/>
          </w:tcPr>
          <w:p w14:paraId="52A5EDAE" w14:textId="77777777" w:rsidR="001142E9" w:rsidRDefault="002B3BB7">
            <w:pPr>
              <w:spacing w:after="0" w:line="240" w:lineRule="auto"/>
              <w:rPr>
                <w:rFonts w:ascii="Arial" w:hAnsi="Arial" w:cs="Arial"/>
                <w:sz w:val="22"/>
                <w:szCs w:val="22"/>
              </w:rPr>
            </w:pPr>
            <w:r>
              <w:rPr>
                <w:rFonts w:ascii="Arial" w:eastAsia="Aptos" w:hAnsi="Arial" w:cs="Arial"/>
                <w:sz w:val="22"/>
                <w:szCs w:val="22"/>
              </w:rPr>
              <w:t>66</w:t>
            </w:r>
          </w:p>
        </w:tc>
        <w:tc>
          <w:tcPr>
            <w:tcW w:w="1328" w:type="dxa"/>
          </w:tcPr>
          <w:p w14:paraId="52A5EDAF" w14:textId="77777777" w:rsidR="001142E9" w:rsidRDefault="002B3BB7">
            <w:pPr>
              <w:spacing w:after="0" w:line="240" w:lineRule="auto"/>
              <w:rPr>
                <w:rFonts w:ascii="Arial" w:hAnsi="Arial" w:cs="Arial"/>
                <w:sz w:val="22"/>
                <w:szCs w:val="22"/>
              </w:rPr>
            </w:pPr>
            <w:r>
              <w:rPr>
                <w:rFonts w:ascii="Arial" w:eastAsia="Aptos" w:hAnsi="Arial" w:cs="Arial"/>
                <w:sz w:val="22"/>
                <w:szCs w:val="22"/>
              </w:rPr>
              <w:t>49-50/60/61</w:t>
            </w:r>
          </w:p>
        </w:tc>
        <w:tc>
          <w:tcPr>
            <w:tcW w:w="3392" w:type="dxa"/>
          </w:tcPr>
          <w:p w14:paraId="52A5EDB0"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The dimension of feelings which encapsulates reflection is embedded into Boud et al., (1985: 19) approach towards reflective practice as student teachers are encouraged to summarise and capture experiences and utilise this to generate new ways of thinking:</w:t>
            </w:r>
          </w:p>
          <w:p w14:paraId="52A5EDB1"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br/>
            </w:r>
            <w:r>
              <w:rPr>
                <w:rFonts w:ascii="Arial" w:eastAsia="Aptos" w:hAnsi="Arial" w:cs="Arial"/>
                <w:color w:val="000000"/>
                <w:sz w:val="22"/>
                <w:szCs w:val="22"/>
              </w:rPr>
              <w:t> Association - relating new narratives to existing data to formulate new methods of</w:t>
            </w:r>
            <w:r>
              <w:rPr>
                <w:rFonts w:ascii="Arial" w:eastAsia="Aptos" w:hAnsi="Arial" w:cs="Arial"/>
                <w:color w:val="000000"/>
                <w:sz w:val="22"/>
                <w:szCs w:val="22"/>
              </w:rPr>
              <w:br/>
            </w:r>
            <w:r>
              <w:rPr>
                <w:rFonts w:ascii="Arial" w:eastAsia="Aptos" w:hAnsi="Arial" w:cs="Arial"/>
                <w:color w:val="000000"/>
                <w:sz w:val="22"/>
                <w:szCs w:val="22"/>
              </w:rPr>
              <w:t>thinking;</w:t>
            </w:r>
            <w:r>
              <w:rPr>
                <w:rFonts w:ascii="Arial" w:eastAsia="Aptos" w:hAnsi="Arial" w:cs="Arial"/>
                <w:color w:val="000000"/>
                <w:sz w:val="22"/>
                <w:szCs w:val="22"/>
              </w:rPr>
              <w:br/>
            </w:r>
          </w:p>
          <w:p w14:paraId="52A5EDB2" w14:textId="77777777" w:rsidR="001142E9" w:rsidRDefault="001142E9">
            <w:pPr>
              <w:spacing w:after="0" w:line="240" w:lineRule="auto"/>
              <w:rPr>
                <w:rFonts w:ascii="Arial" w:hAnsi="Arial" w:cs="Arial"/>
                <w:color w:val="000000"/>
                <w:sz w:val="22"/>
                <w:szCs w:val="22"/>
              </w:rPr>
            </w:pPr>
          </w:p>
          <w:p w14:paraId="52A5EDB3" w14:textId="77777777" w:rsidR="001142E9" w:rsidRDefault="001142E9">
            <w:pPr>
              <w:spacing w:after="0" w:line="240" w:lineRule="auto"/>
              <w:rPr>
                <w:rFonts w:ascii="Arial" w:hAnsi="Arial" w:cs="Arial"/>
                <w:color w:val="000000"/>
                <w:sz w:val="22"/>
                <w:szCs w:val="22"/>
              </w:rPr>
            </w:pPr>
          </w:p>
          <w:p w14:paraId="52A5EDB4" w14:textId="77777777" w:rsidR="001142E9" w:rsidRDefault="001142E9">
            <w:pPr>
              <w:spacing w:after="0" w:line="240" w:lineRule="auto"/>
              <w:rPr>
                <w:rFonts w:ascii="Arial" w:hAnsi="Arial" w:cs="Arial"/>
                <w:color w:val="000000"/>
                <w:sz w:val="22"/>
                <w:szCs w:val="22"/>
              </w:rPr>
            </w:pPr>
          </w:p>
          <w:p w14:paraId="52A5EDB5" w14:textId="77777777" w:rsidR="001142E9" w:rsidRDefault="001142E9">
            <w:pPr>
              <w:spacing w:after="0" w:line="240" w:lineRule="auto"/>
              <w:rPr>
                <w:rFonts w:ascii="Arial" w:hAnsi="Arial" w:cs="Arial"/>
                <w:color w:val="000000"/>
                <w:sz w:val="22"/>
                <w:szCs w:val="22"/>
              </w:rPr>
            </w:pPr>
          </w:p>
          <w:p w14:paraId="52A5EDB6"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Validation - determining the authenticity of the ideas and feelings which have resulted, in implementing new ways of comprehending and interpreting teaching;</w:t>
            </w:r>
          </w:p>
          <w:p w14:paraId="52A5EDB7"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br/>
            </w:r>
            <w:r>
              <w:rPr>
                <w:rFonts w:ascii="Arial" w:eastAsia="Aptos" w:hAnsi="Arial" w:cs="Arial"/>
                <w:color w:val="000000"/>
                <w:sz w:val="22"/>
                <w:szCs w:val="22"/>
              </w:rPr>
              <w:t> Appropriation- creating knowledge, engaging in professional autonomy, taking</w:t>
            </w:r>
            <w:r>
              <w:rPr>
                <w:rFonts w:ascii="Arial" w:eastAsia="Aptos" w:hAnsi="Arial" w:cs="Arial"/>
                <w:color w:val="000000"/>
                <w:sz w:val="22"/>
                <w:szCs w:val="22"/>
              </w:rPr>
              <w:br/>
              <w:t>ownership of new insights and learning to inform future pedagogical and teaching</w:t>
            </w:r>
            <w:r>
              <w:rPr>
                <w:rFonts w:ascii="Arial" w:eastAsia="Aptos" w:hAnsi="Arial" w:cs="Arial"/>
                <w:color w:val="000000"/>
                <w:sz w:val="22"/>
                <w:szCs w:val="22"/>
              </w:rPr>
              <w:br/>
              <w:t>practices.</w:t>
            </w:r>
          </w:p>
        </w:tc>
        <w:tc>
          <w:tcPr>
            <w:tcW w:w="3399" w:type="dxa"/>
          </w:tcPr>
          <w:p w14:paraId="52A5EDB8"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The dimension of feelings and emotions is woven into Boud et al’s (1985: 19) approach to reflective practice as student teachers are encouraged to recapture their experience, think about it, mull it over and evaluate it‟ through:</w:t>
            </w:r>
          </w:p>
          <w:p w14:paraId="52A5EDB9" w14:textId="77777777" w:rsidR="001142E9" w:rsidRDefault="001142E9">
            <w:pPr>
              <w:spacing w:after="0" w:line="240" w:lineRule="auto"/>
              <w:rPr>
                <w:rFonts w:ascii="Arial" w:hAnsi="Arial" w:cs="Arial"/>
                <w:color w:val="000000"/>
                <w:sz w:val="22"/>
                <w:szCs w:val="22"/>
              </w:rPr>
            </w:pPr>
          </w:p>
          <w:p w14:paraId="52A5EDBA" w14:textId="77777777" w:rsidR="001142E9" w:rsidRDefault="001142E9">
            <w:pPr>
              <w:spacing w:after="0" w:line="240" w:lineRule="auto"/>
              <w:rPr>
                <w:rFonts w:ascii="Arial" w:hAnsi="Arial" w:cs="Arial"/>
                <w:color w:val="000000"/>
                <w:sz w:val="22"/>
                <w:szCs w:val="22"/>
              </w:rPr>
            </w:pPr>
          </w:p>
          <w:p w14:paraId="52A5EDBB"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association - relating new data to that which is already known, making links between</w:t>
            </w:r>
            <w:r>
              <w:rPr>
                <w:rFonts w:ascii="Arial" w:eastAsia="Aptos" w:hAnsi="Arial" w:cs="Arial"/>
                <w:color w:val="000000"/>
                <w:sz w:val="22"/>
                <w:szCs w:val="22"/>
              </w:rPr>
              <w:br/>
              <w:t>feelings and ideas we have about teaching;</w:t>
            </w:r>
            <w:r>
              <w:rPr>
                <w:rFonts w:ascii="Arial" w:eastAsia="Aptos" w:hAnsi="Arial" w:cs="Arial"/>
                <w:color w:val="000000"/>
                <w:sz w:val="22"/>
                <w:szCs w:val="22"/>
              </w:rPr>
              <w:br/>
              <w:t>integration - seeking relationships among the data, making sense of associations in</w:t>
            </w:r>
            <w:r>
              <w:rPr>
                <w:rFonts w:ascii="Arial" w:eastAsia="Aptos" w:hAnsi="Arial" w:cs="Arial"/>
                <w:color w:val="000000"/>
                <w:sz w:val="22"/>
                <w:szCs w:val="22"/>
              </w:rPr>
              <w:br/>
              <w:t>some way</w:t>
            </w:r>
            <w:r>
              <w:rPr>
                <w:rFonts w:ascii="Arial" w:eastAsia="Aptos" w:hAnsi="Arial" w:cs="Arial"/>
                <w:color w:val="000000"/>
                <w:sz w:val="22"/>
                <w:szCs w:val="22"/>
              </w:rPr>
              <w:br/>
            </w:r>
            <w:r>
              <w:rPr>
                <w:rFonts w:ascii="Arial" w:eastAsia="Aptos" w:hAnsi="Arial" w:cs="Arial"/>
                <w:color w:val="000000"/>
                <w:sz w:val="22"/>
                <w:szCs w:val="22"/>
              </w:rPr>
              <w:t>validation - determining the authenticity of the ideas and feelings which have</w:t>
            </w:r>
            <w:r>
              <w:rPr>
                <w:rFonts w:ascii="Arial" w:eastAsia="Aptos" w:hAnsi="Arial" w:cs="Arial"/>
                <w:color w:val="000000"/>
                <w:sz w:val="22"/>
                <w:szCs w:val="22"/>
              </w:rPr>
              <w:br/>
              <w:t>resulted, trying out new ways of viewing and understanding teaching;</w:t>
            </w:r>
          </w:p>
          <w:p w14:paraId="52A5EDBC"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br/>
              <w:t>appropriation - making knowledge one‟s own, taking ownership of new insights and</w:t>
            </w:r>
            <w:r>
              <w:rPr>
                <w:rFonts w:ascii="Arial" w:eastAsia="Aptos" w:hAnsi="Arial" w:cs="Arial"/>
                <w:color w:val="000000"/>
                <w:sz w:val="22"/>
                <w:szCs w:val="22"/>
              </w:rPr>
              <w:br/>
              <w:t>learning to inform future teaching.</w:t>
            </w:r>
            <w:r>
              <w:rPr>
                <w:rFonts w:ascii="Arial" w:eastAsia="Aptos" w:hAnsi="Arial" w:cs="Arial"/>
                <w:color w:val="000000"/>
                <w:sz w:val="22"/>
                <w:szCs w:val="22"/>
              </w:rPr>
              <w:br/>
            </w:r>
          </w:p>
          <w:p w14:paraId="52A5EDBD" w14:textId="77777777" w:rsidR="001142E9" w:rsidRDefault="001142E9">
            <w:pPr>
              <w:spacing w:after="0" w:line="240" w:lineRule="auto"/>
              <w:rPr>
                <w:rFonts w:ascii="Arial" w:hAnsi="Arial" w:cs="Arial"/>
                <w:color w:val="000000"/>
                <w:sz w:val="22"/>
                <w:szCs w:val="22"/>
              </w:rPr>
            </w:pPr>
          </w:p>
          <w:p w14:paraId="52A5EDBE" w14:textId="77777777" w:rsidR="001142E9" w:rsidRDefault="001142E9">
            <w:pPr>
              <w:spacing w:after="0" w:line="240" w:lineRule="auto"/>
              <w:rPr>
                <w:rFonts w:ascii="Arial" w:hAnsi="Arial" w:cs="Arial"/>
                <w:color w:val="000000"/>
                <w:sz w:val="22"/>
                <w:szCs w:val="22"/>
              </w:rPr>
            </w:pPr>
          </w:p>
        </w:tc>
        <w:tc>
          <w:tcPr>
            <w:tcW w:w="1960" w:type="dxa"/>
          </w:tcPr>
          <w:p w14:paraId="52A5EDBF"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Structural and near-verbatim</w:t>
            </w:r>
          </w:p>
        </w:tc>
        <w:tc>
          <w:tcPr>
            <w:tcW w:w="2987" w:type="dxa"/>
          </w:tcPr>
          <w:p w14:paraId="52A5EDC0"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Arday reproduces Z-M’s opening line almost word-for-word (“dimensions of feelings … embedded” vs “woven in”), omits Z-M’s direct quote</w:t>
            </w:r>
          </w:p>
          <w:p w14:paraId="52A5EDC1" w14:textId="77777777" w:rsidR="001142E9" w:rsidRDefault="001142E9">
            <w:pPr>
              <w:spacing w:after="0" w:line="240" w:lineRule="auto"/>
              <w:rPr>
                <w:rFonts w:ascii="Arial" w:eastAsia="Aptos" w:hAnsi="Arial" w:cs="Arial"/>
                <w:sz w:val="22"/>
                <w:szCs w:val="22"/>
              </w:rPr>
            </w:pPr>
          </w:p>
          <w:p w14:paraId="52A5EDC2"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Bulletpoint list is the same</w:t>
            </w:r>
          </w:p>
          <w:p w14:paraId="52A5EDC3" w14:textId="77777777" w:rsidR="001142E9" w:rsidRDefault="001142E9">
            <w:pPr>
              <w:spacing w:after="0" w:line="240" w:lineRule="auto"/>
              <w:rPr>
                <w:rFonts w:ascii="Arial" w:eastAsia="Aptos" w:hAnsi="Arial" w:cs="Arial"/>
                <w:sz w:val="22"/>
                <w:szCs w:val="22"/>
              </w:rPr>
            </w:pPr>
          </w:p>
          <w:p w14:paraId="52A5EDC4" w14:textId="77777777" w:rsidR="001142E9" w:rsidRDefault="001142E9">
            <w:pPr>
              <w:spacing w:after="0" w:line="240" w:lineRule="auto"/>
              <w:rPr>
                <w:rFonts w:ascii="Arial" w:eastAsia="Aptos" w:hAnsi="Arial" w:cs="Arial"/>
                <w:sz w:val="22"/>
                <w:szCs w:val="22"/>
              </w:rPr>
            </w:pPr>
          </w:p>
          <w:p w14:paraId="52A5EDC5" w14:textId="77777777" w:rsidR="001142E9" w:rsidRDefault="001142E9">
            <w:pPr>
              <w:spacing w:after="0" w:line="240" w:lineRule="auto"/>
              <w:rPr>
                <w:rFonts w:ascii="Arial" w:eastAsia="Aptos" w:hAnsi="Arial" w:cs="Arial"/>
                <w:sz w:val="22"/>
                <w:szCs w:val="22"/>
              </w:rPr>
            </w:pPr>
          </w:p>
          <w:p w14:paraId="52A5EDC6" w14:textId="77777777" w:rsidR="001142E9" w:rsidRDefault="001142E9">
            <w:pPr>
              <w:spacing w:after="0" w:line="240" w:lineRule="auto"/>
              <w:rPr>
                <w:rFonts w:ascii="Arial" w:eastAsia="Aptos" w:hAnsi="Arial" w:cs="Arial"/>
                <w:sz w:val="22"/>
                <w:szCs w:val="22"/>
              </w:rPr>
            </w:pPr>
          </w:p>
          <w:p w14:paraId="52A5EDC7" w14:textId="77777777" w:rsidR="001142E9" w:rsidRDefault="001142E9">
            <w:pPr>
              <w:spacing w:after="0" w:line="240" w:lineRule="auto"/>
              <w:rPr>
                <w:rFonts w:ascii="Arial" w:eastAsia="Aptos" w:hAnsi="Arial" w:cs="Arial"/>
                <w:sz w:val="22"/>
                <w:szCs w:val="22"/>
              </w:rPr>
            </w:pPr>
          </w:p>
          <w:p w14:paraId="52A5EDC8" w14:textId="77777777" w:rsidR="001142E9" w:rsidRDefault="001142E9">
            <w:pPr>
              <w:spacing w:after="0" w:line="240" w:lineRule="auto"/>
              <w:rPr>
                <w:rFonts w:ascii="Arial" w:eastAsia="Aptos" w:hAnsi="Arial" w:cs="Arial"/>
                <w:sz w:val="22"/>
                <w:szCs w:val="22"/>
              </w:rPr>
            </w:pPr>
          </w:p>
          <w:p w14:paraId="52A5EDC9" w14:textId="77777777" w:rsidR="001142E9" w:rsidRDefault="001142E9">
            <w:pPr>
              <w:spacing w:after="0" w:line="240" w:lineRule="auto"/>
              <w:rPr>
                <w:rFonts w:ascii="Arial" w:eastAsia="Aptos" w:hAnsi="Arial" w:cs="Arial"/>
                <w:sz w:val="22"/>
                <w:szCs w:val="22"/>
              </w:rPr>
            </w:pPr>
          </w:p>
          <w:p w14:paraId="52A5EDCA" w14:textId="77777777" w:rsidR="001142E9" w:rsidRDefault="001142E9">
            <w:pPr>
              <w:spacing w:after="0" w:line="240" w:lineRule="auto"/>
              <w:rPr>
                <w:rFonts w:ascii="Arial" w:eastAsia="Aptos" w:hAnsi="Arial" w:cs="Arial"/>
                <w:sz w:val="22"/>
                <w:szCs w:val="22"/>
              </w:rPr>
            </w:pPr>
          </w:p>
          <w:p w14:paraId="52A5EDCB" w14:textId="77777777" w:rsidR="001142E9" w:rsidRDefault="001142E9">
            <w:pPr>
              <w:spacing w:after="0" w:line="240" w:lineRule="auto"/>
              <w:rPr>
                <w:rFonts w:ascii="Arial" w:eastAsia="Aptos" w:hAnsi="Arial" w:cs="Arial"/>
                <w:sz w:val="22"/>
                <w:szCs w:val="22"/>
              </w:rPr>
            </w:pPr>
          </w:p>
          <w:p w14:paraId="52A5EDCC" w14:textId="77777777" w:rsidR="001142E9" w:rsidRDefault="001142E9">
            <w:pPr>
              <w:spacing w:after="0" w:line="240" w:lineRule="auto"/>
              <w:rPr>
                <w:rFonts w:ascii="Arial" w:eastAsia="Aptos" w:hAnsi="Arial" w:cs="Arial"/>
                <w:sz w:val="22"/>
                <w:szCs w:val="22"/>
              </w:rPr>
            </w:pPr>
          </w:p>
          <w:p w14:paraId="52A5EDCD" w14:textId="77777777" w:rsidR="001142E9" w:rsidRDefault="001142E9">
            <w:pPr>
              <w:spacing w:after="0" w:line="240" w:lineRule="auto"/>
              <w:rPr>
                <w:rFonts w:ascii="Arial" w:eastAsia="Aptos" w:hAnsi="Arial" w:cs="Arial"/>
                <w:sz w:val="22"/>
                <w:szCs w:val="22"/>
              </w:rPr>
            </w:pPr>
          </w:p>
          <w:p w14:paraId="52A5EDCE" w14:textId="77777777" w:rsidR="001142E9" w:rsidRDefault="001142E9">
            <w:pPr>
              <w:spacing w:after="0" w:line="240" w:lineRule="auto"/>
              <w:rPr>
                <w:rFonts w:ascii="Arial" w:eastAsia="Aptos" w:hAnsi="Arial" w:cs="Arial"/>
                <w:sz w:val="22"/>
                <w:szCs w:val="22"/>
              </w:rPr>
            </w:pPr>
          </w:p>
          <w:p w14:paraId="52A5EDCF" w14:textId="77777777" w:rsidR="001142E9" w:rsidRDefault="001142E9">
            <w:pPr>
              <w:spacing w:after="0" w:line="240" w:lineRule="auto"/>
              <w:rPr>
                <w:rFonts w:ascii="Arial" w:eastAsia="Aptos" w:hAnsi="Arial" w:cs="Arial"/>
                <w:sz w:val="22"/>
                <w:szCs w:val="22"/>
              </w:rPr>
            </w:pPr>
          </w:p>
          <w:p w14:paraId="52A5EDD0" w14:textId="77777777" w:rsidR="001142E9" w:rsidRDefault="001142E9">
            <w:pPr>
              <w:spacing w:after="0" w:line="240" w:lineRule="auto"/>
              <w:rPr>
                <w:rFonts w:ascii="Arial" w:eastAsia="Aptos" w:hAnsi="Arial" w:cs="Arial"/>
                <w:sz w:val="22"/>
                <w:szCs w:val="22"/>
              </w:rPr>
            </w:pPr>
          </w:p>
          <w:p w14:paraId="52A5EDD1" w14:textId="77777777" w:rsidR="001142E9" w:rsidRDefault="002B3BB7">
            <w:pPr>
              <w:spacing w:after="0" w:line="240" w:lineRule="auto"/>
              <w:rPr>
                <w:rFonts w:ascii="Arial" w:hAnsi="Arial" w:cs="Arial"/>
                <w:color w:val="000000"/>
                <w:sz w:val="22"/>
                <w:szCs w:val="22"/>
              </w:rPr>
            </w:pPr>
            <w:r>
              <w:rPr>
                <w:rFonts w:ascii="Arial" w:eastAsia="Aptos" w:hAnsi="Arial" w:cs="Arial"/>
                <w:sz w:val="22"/>
                <w:szCs w:val="22"/>
              </w:rPr>
              <w:t>‘</w:t>
            </w:r>
            <w:r>
              <w:rPr>
                <w:rFonts w:ascii="Arial" w:eastAsia="Aptos" w:hAnsi="Arial" w:cs="Arial"/>
                <w:color w:val="000000"/>
                <w:sz w:val="22"/>
                <w:szCs w:val="22"/>
              </w:rPr>
              <w:t>viewing and understanding’ becomes ‘comprehending and interpreting’</w:t>
            </w:r>
          </w:p>
          <w:p w14:paraId="52A5EDD2" w14:textId="77777777" w:rsidR="001142E9" w:rsidRDefault="001142E9">
            <w:pPr>
              <w:spacing w:after="0" w:line="240" w:lineRule="auto"/>
              <w:rPr>
                <w:rFonts w:ascii="Arial" w:hAnsi="Arial" w:cs="Arial"/>
                <w:color w:val="000000"/>
                <w:sz w:val="22"/>
                <w:szCs w:val="22"/>
              </w:rPr>
            </w:pPr>
          </w:p>
          <w:p w14:paraId="52A5EDD3" w14:textId="77777777" w:rsidR="001142E9" w:rsidRDefault="001142E9">
            <w:pPr>
              <w:spacing w:after="0" w:line="240" w:lineRule="auto"/>
              <w:rPr>
                <w:rFonts w:ascii="Arial" w:eastAsia="Aptos" w:hAnsi="Arial" w:cs="Arial"/>
                <w:sz w:val="22"/>
                <w:szCs w:val="22"/>
              </w:rPr>
            </w:pPr>
          </w:p>
          <w:p w14:paraId="52A5EDD4" w14:textId="77777777" w:rsidR="001142E9" w:rsidRDefault="001142E9">
            <w:pPr>
              <w:spacing w:after="0" w:line="240" w:lineRule="auto"/>
              <w:rPr>
                <w:rFonts w:ascii="Arial" w:eastAsia="Aptos" w:hAnsi="Arial" w:cs="Arial"/>
                <w:sz w:val="22"/>
                <w:szCs w:val="22"/>
              </w:rPr>
            </w:pPr>
          </w:p>
          <w:p w14:paraId="52A5EDD5"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‘future teaching’ becomes ‘</w:t>
            </w:r>
            <w:r>
              <w:rPr>
                <w:rFonts w:ascii="Arial" w:hAnsi="Arial" w:cs="Arial"/>
                <w:color w:val="000000"/>
                <w:sz w:val="22"/>
                <w:szCs w:val="22"/>
              </w:rPr>
              <w:t>future pedagogical and teaching practices’</w:t>
            </w:r>
          </w:p>
        </w:tc>
      </w:tr>
      <w:tr w:rsidR="001142E9" w14:paraId="52A5EDDF" w14:textId="77777777">
        <w:tc>
          <w:tcPr>
            <w:tcW w:w="881" w:type="dxa"/>
          </w:tcPr>
          <w:p w14:paraId="52A5EDD7"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66</w:t>
            </w:r>
          </w:p>
          <w:p w14:paraId="52A5EDD8" w14:textId="77777777" w:rsidR="001142E9" w:rsidRDefault="001142E9">
            <w:pPr>
              <w:spacing w:after="0" w:line="240" w:lineRule="auto"/>
              <w:rPr>
                <w:rFonts w:ascii="Arial" w:hAnsi="Arial" w:cs="Arial"/>
                <w:color w:val="000000"/>
                <w:sz w:val="22"/>
                <w:szCs w:val="22"/>
              </w:rPr>
            </w:pPr>
          </w:p>
        </w:tc>
        <w:tc>
          <w:tcPr>
            <w:tcW w:w="1328" w:type="dxa"/>
          </w:tcPr>
          <w:p w14:paraId="52A5EDD9"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49</w:t>
            </w:r>
          </w:p>
        </w:tc>
        <w:tc>
          <w:tcPr>
            <w:tcW w:w="3392" w:type="dxa"/>
          </w:tcPr>
          <w:p w14:paraId="52A5EDDA"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Boud et al., (1985) approach to gaining knowledge from experience, which originates from the description of a particular teaching situation, incorporates the view that reflective practice involves reviewing retrospective experiences to facilitate new forward-facing experiences.</w:t>
            </w:r>
          </w:p>
          <w:p w14:paraId="52A5EDDB" w14:textId="77777777" w:rsidR="001142E9" w:rsidRDefault="001142E9">
            <w:pPr>
              <w:spacing w:after="0" w:line="240" w:lineRule="auto"/>
              <w:rPr>
                <w:rFonts w:ascii="Arial" w:hAnsi="Arial" w:cs="Arial"/>
                <w:color w:val="000000"/>
                <w:sz w:val="22"/>
                <w:szCs w:val="22"/>
              </w:rPr>
            </w:pPr>
          </w:p>
        </w:tc>
        <w:tc>
          <w:tcPr>
            <w:tcW w:w="3399" w:type="dxa"/>
          </w:tcPr>
          <w:p w14:paraId="52A5EDDC"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Their approach to gaining knowledge from experience, which begins with the description</w:t>
            </w:r>
            <w:r>
              <w:rPr>
                <w:rFonts w:ascii="Arial" w:eastAsia="Aptos" w:hAnsi="Arial" w:cs="Arial"/>
                <w:color w:val="000000"/>
                <w:sz w:val="22"/>
                <w:szCs w:val="22"/>
              </w:rPr>
              <w:br/>
              <w:t>of a particular teaching situation, incorporates the view that reflective practice involves looking back (returning to experience) and looking forward</w:t>
            </w:r>
          </w:p>
        </w:tc>
        <w:tc>
          <w:tcPr>
            <w:tcW w:w="1960" w:type="dxa"/>
          </w:tcPr>
          <w:p w14:paraId="52A5EDDD"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Near-verbatim, close paraphrase</w:t>
            </w:r>
          </w:p>
        </w:tc>
        <w:tc>
          <w:tcPr>
            <w:tcW w:w="2987" w:type="dxa"/>
          </w:tcPr>
          <w:p w14:paraId="52A5EDDE"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Note how ‘begins with’ becomes ‘originates from’; ‘looking back’ becomes ‘reviewing retrospective experiences’</w:t>
            </w:r>
          </w:p>
        </w:tc>
      </w:tr>
      <w:tr w:rsidR="001142E9" w14:paraId="52A5EDE9" w14:textId="77777777">
        <w:tc>
          <w:tcPr>
            <w:tcW w:w="881" w:type="dxa"/>
          </w:tcPr>
          <w:p w14:paraId="52A5EDE0"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67</w:t>
            </w:r>
          </w:p>
        </w:tc>
        <w:tc>
          <w:tcPr>
            <w:tcW w:w="1328" w:type="dxa"/>
          </w:tcPr>
          <w:p w14:paraId="52A5EDE1"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49</w:t>
            </w:r>
          </w:p>
        </w:tc>
        <w:tc>
          <w:tcPr>
            <w:tcW w:w="3392" w:type="dxa"/>
          </w:tcPr>
          <w:p w14:paraId="52A5EDE2"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However, this framework has been construed in a reductionistic manner (Boud, 1999: 125), more specifically; this has been regarded as unrecognisable as reflective practice. Some staff within placement schools for example, asked student teachers to reflect by using a Likert scale numbers format; 1 – return to the experience, 2 – attends to feelings, 3 – re-evaluate by stages. Such practice suggests that this process is linear and mechanistic, and does not encourage deeper reflection in attempting to construc</w:t>
            </w:r>
            <w:r>
              <w:rPr>
                <w:rFonts w:ascii="Arial" w:eastAsia="Aptos" w:hAnsi="Arial" w:cs="Arial"/>
                <w:color w:val="000000"/>
                <w:sz w:val="22"/>
                <w:szCs w:val="22"/>
              </w:rPr>
              <w:t>t better understandings concerning teaching and learning practice (Boud, 1999; Bradbury, 2010)</w:t>
            </w:r>
          </w:p>
          <w:p w14:paraId="52A5EDE3" w14:textId="77777777" w:rsidR="001142E9" w:rsidRDefault="001142E9">
            <w:pPr>
              <w:spacing w:after="0" w:line="240" w:lineRule="auto"/>
              <w:rPr>
                <w:rFonts w:ascii="Arial" w:hAnsi="Arial" w:cs="Arial"/>
                <w:color w:val="000000"/>
                <w:sz w:val="22"/>
                <w:szCs w:val="22"/>
              </w:rPr>
            </w:pPr>
          </w:p>
        </w:tc>
        <w:tc>
          <w:tcPr>
            <w:tcW w:w="3399" w:type="dxa"/>
          </w:tcPr>
          <w:p w14:paraId="52A5EDE4"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This framework has however been interpreted „in such a reductionistic manner‟ (Boud, 1999: 125) as to be unrecognisable as reflective practice. Some staff within placement schools for example, asked student teachers to reflect by numbers „1 – return to the experience, 2 – attend to feelings, 3 – reevaluate by stages…‟ as though it were a simple, linear process of „working through a series of prompts to reach deeper understanding‟ (ibid).</w:t>
            </w:r>
          </w:p>
        </w:tc>
        <w:tc>
          <w:tcPr>
            <w:tcW w:w="1960" w:type="dxa"/>
          </w:tcPr>
          <w:p w14:paraId="52A5EDE5"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Copies Z-M’s curated literature list, and then scaffold (see copied list starting at: ‘Some staff within placement schools’, etc; also minor paraphrase</w:t>
            </w:r>
          </w:p>
        </w:tc>
        <w:tc>
          <w:tcPr>
            <w:tcW w:w="2987" w:type="dxa"/>
          </w:tcPr>
          <w:p w14:paraId="52A5EDE6"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See how ‘simple, linear process’ becomes ‘linear and mechanistic’; ‘deeper understanding’ becomes ‘deeper reflection’</w:t>
            </w:r>
          </w:p>
          <w:p w14:paraId="52A5EDE7" w14:textId="77777777" w:rsidR="001142E9" w:rsidRDefault="001142E9">
            <w:pPr>
              <w:spacing w:after="0" w:line="240" w:lineRule="auto"/>
              <w:rPr>
                <w:rFonts w:ascii="Arial" w:eastAsia="Aptos" w:hAnsi="Arial" w:cs="Arial"/>
                <w:sz w:val="22"/>
                <w:szCs w:val="22"/>
              </w:rPr>
            </w:pPr>
          </w:p>
          <w:p w14:paraId="52A5EDE8"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Unknown origin for the quote from Boud and Bradbury</w:t>
            </w:r>
          </w:p>
        </w:tc>
      </w:tr>
      <w:tr w:rsidR="001142E9" w14:paraId="52A5EDF2" w14:textId="77777777">
        <w:tc>
          <w:tcPr>
            <w:tcW w:w="881" w:type="dxa"/>
          </w:tcPr>
          <w:p w14:paraId="52A5EDEA"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67</w:t>
            </w:r>
          </w:p>
        </w:tc>
        <w:tc>
          <w:tcPr>
            <w:tcW w:w="1328" w:type="dxa"/>
          </w:tcPr>
          <w:p w14:paraId="52A5EDEB"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49</w:t>
            </w:r>
          </w:p>
        </w:tc>
        <w:tc>
          <w:tcPr>
            <w:tcW w:w="3392" w:type="dxa"/>
          </w:tcPr>
          <w:p w14:paraId="52A5EDEC"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Boud argues persuasively that such summarisations of teaching are wholly inappropriate as this trivialises the process of learning and does not also reflect prior experiences. Contrastingly, this also posits unhelpful and unbalanced dynamics of power or oppression which may affect aspiration or teaching endeavour (Zwozdiak-Myers, 2012). Further, the emphasis placed on the need for personal disclosure was often considered to be beyond the capacity of some student teachers (Boud, 1999).</w:t>
            </w:r>
          </w:p>
          <w:p w14:paraId="52A5EDED" w14:textId="77777777" w:rsidR="001142E9" w:rsidRDefault="001142E9">
            <w:pPr>
              <w:spacing w:after="0" w:line="240" w:lineRule="auto"/>
              <w:rPr>
                <w:rFonts w:ascii="Arial" w:hAnsi="Arial" w:cs="Arial"/>
                <w:color w:val="000000"/>
                <w:sz w:val="22"/>
                <w:szCs w:val="22"/>
              </w:rPr>
            </w:pPr>
          </w:p>
        </w:tc>
        <w:tc>
          <w:tcPr>
            <w:tcW w:w="3399" w:type="dxa"/>
          </w:tcPr>
          <w:p w14:paraId="52A5EDEE"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Boud argues persuasively that recipe following is wholly inappropriate as it does not take account of the “uniqueness of learners, their prior experience, the particular context in which they are operating nor the need to address any unhelpful dynamics of power or oppression which may intrude‟ (ibid: 128). Further, the emphasis placed on the need for personal disclosure was often found to be beyond the capacity of some student teachers. </w:t>
            </w:r>
          </w:p>
          <w:p w14:paraId="52A5EDEF" w14:textId="77777777" w:rsidR="001142E9" w:rsidRDefault="001142E9">
            <w:pPr>
              <w:spacing w:after="0" w:line="240" w:lineRule="auto"/>
              <w:rPr>
                <w:rFonts w:ascii="Arial" w:hAnsi="Arial" w:cs="Arial"/>
                <w:color w:val="000000"/>
                <w:sz w:val="22"/>
                <w:szCs w:val="22"/>
              </w:rPr>
            </w:pPr>
          </w:p>
        </w:tc>
        <w:tc>
          <w:tcPr>
            <w:tcW w:w="1960" w:type="dxa"/>
          </w:tcPr>
          <w:p w14:paraId="52A5EDF0"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Verbatim text, with some substitution of terms, in discussion of Boud</w:t>
            </w:r>
          </w:p>
        </w:tc>
        <w:tc>
          <w:tcPr>
            <w:tcW w:w="2987" w:type="dxa"/>
          </w:tcPr>
          <w:p w14:paraId="52A5EDF1"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Again, note reference to 2012 Z-M book; source of text is 2009 Z-M thesis</w:t>
            </w:r>
          </w:p>
        </w:tc>
      </w:tr>
      <w:tr w:rsidR="001142E9" w14:paraId="52A5EE06" w14:textId="77777777">
        <w:tc>
          <w:tcPr>
            <w:tcW w:w="881" w:type="dxa"/>
          </w:tcPr>
          <w:p w14:paraId="52A5EDF3"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68</w:t>
            </w:r>
          </w:p>
        </w:tc>
        <w:tc>
          <w:tcPr>
            <w:tcW w:w="1328" w:type="dxa"/>
          </w:tcPr>
          <w:p w14:paraId="52A5EDF4"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49</w:t>
            </w:r>
          </w:p>
        </w:tc>
        <w:tc>
          <w:tcPr>
            <w:tcW w:w="3392" w:type="dxa"/>
          </w:tcPr>
          <w:p w14:paraId="52A5EDF5"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Boud and others suggest such problems can be addressed when practitioners within schools develop a context for reflection which is unique and specific, with regards to establishing a community for learning, and developing an environment which embodies mutual trust as an integral component for productive collaborative learning. The discourse presented highlights the importance of school institutions to provide supportive structures, which enable student teachers’ to thrive and extract maximum benefits from t</w:t>
            </w:r>
            <w:r>
              <w:rPr>
                <w:rFonts w:ascii="Arial" w:eastAsia="Aptos" w:hAnsi="Arial" w:cs="Arial"/>
                <w:color w:val="000000"/>
                <w:sz w:val="22"/>
                <w:szCs w:val="22"/>
              </w:rPr>
              <w:t>heir situational learning experiences (Boud, 2006; Galea, 2012).</w:t>
            </w:r>
          </w:p>
          <w:p w14:paraId="52A5EDF6" w14:textId="77777777" w:rsidR="001142E9" w:rsidRDefault="001142E9">
            <w:pPr>
              <w:spacing w:after="0" w:line="240" w:lineRule="auto"/>
              <w:rPr>
                <w:rFonts w:ascii="Arial" w:hAnsi="Arial" w:cs="Arial"/>
                <w:color w:val="000000"/>
                <w:sz w:val="22"/>
                <w:szCs w:val="22"/>
              </w:rPr>
            </w:pPr>
          </w:p>
        </w:tc>
        <w:tc>
          <w:tcPr>
            <w:tcW w:w="3399" w:type="dxa"/>
          </w:tcPr>
          <w:p w14:paraId="52A5EDF7"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Boud suggests these shortcomings can be addressed when school staff build a context for reflection unique to every learning situation and create an environment of trust. </w:t>
            </w:r>
          </w:p>
          <w:p w14:paraId="52A5EDF8" w14:textId="77777777" w:rsidR="001142E9" w:rsidRDefault="001142E9">
            <w:pPr>
              <w:spacing w:after="0" w:line="240" w:lineRule="auto"/>
              <w:rPr>
                <w:rFonts w:ascii="Arial" w:hAnsi="Arial" w:cs="Arial"/>
                <w:color w:val="000000"/>
                <w:sz w:val="22"/>
                <w:szCs w:val="22"/>
              </w:rPr>
            </w:pPr>
          </w:p>
          <w:p w14:paraId="52A5EDF9" w14:textId="77777777" w:rsidR="001142E9" w:rsidRDefault="001142E9">
            <w:pPr>
              <w:spacing w:after="0" w:line="240" w:lineRule="auto"/>
              <w:rPr>
                <w:rFonts w:ascii="Arial" w:hAnsi="Arial" w:cs="Arial"/>
                <w:color w:val="000000"/>
                <w:sz w:val="22"/>
                <w:szCs w:val="22"/>
              </w:rPr>
            </w:pPr>
          </w:p>
          <w:p w14:paraId="52A5EDFA" w14:textId="77777777" w:rsidR="001142E9" w:rsidRDefault="001142E9">
            <w:pPr>
              <w:spacing w:after="0" w:line="240" w:lineRule="auto"/>
              <w:rPr>
                <w:rFonts w:ascii="Arial" w:hAnsi="Arial" w:cs="Arial"/>
                <w:color w:val="000000"/>
                <w:sz w:val="22"/>
                <w:szCs w:val="22"/>
              </w:rPr>
            </w:pPr>
          </w:p>
          <w:p w14:paraId="52A5EDFB" w14:textId="77777777" w:rsidR="001142E9" w:rsidRDefault="001142E9">
            <w:pPr>
              <w:spacing w:after="0" w:line="240" w:lineRule="auto"/>
              <w:rPr>
                <w:rFonts w:ascii="Arial" w:hAnsi="Arial" w:cs="Arial"/>
                <w:color w:val="000000"/>
                <w:sz w:val="22"/>
                <w:szCs w:val="22"/>
              </w:rPr>
            </w:pPr>
          </w:p>
          <w:p w14:paraId="52A5EDFC" w14:textId="77777777" w:rsidR="001142E9" w:rsidRDefault="001142E9">
            <w:pPr>
              <w:spacing w:after="0" w:line="240" w:lineRule="auto"/>
              <w:rPr>
                <w:rFonts w:ascii="Arial" w:hAnsi="Arial" w:cs="Arial"/>
                <w:color w:val="000000"/>
                <w:sz w:val="22"/>
                <w:szCs w:val="22"/>
              </w:rPr>
            </w:pPr>
          </w:p>
          <w:p w14:paraId="52A5EDFD"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What emerges from this discourse is the need to recognise the unique nature of each student teacher, the unique nature of each school context and to provide support structures, which enable each student teacher to gain maximum benefit from their situational experiences</w:t>
            </w:r>
          </w:p>
        </w:tc>
        <w:tc>
          <w:tcPr>
            <w:tcW w:w="1960" w:type="dxa"/>
          </w:tcPr>
          <w:p w14:paraId="52A5EDFE"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Verbatim scaffold, though close paraphrase of Z-M</w:t>
            </w:r>
          </w:p>
        </w:tc>
        <w:tc>
          <w:tcPr>
            <w:tcW w:w="2987" w:type="dxa"/>
          </w:tcPr>
          <w:p w14:paraId="52A5EDFF"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 xml:space="preserve">Note ‘unique to every learning situation’ becomes ‘unique and specific’; </w:t>
            </w:r>
          </w:p>
          <w:p w14:paraId="52A5EE00" w14:textId="77777777" w:rsidR="001142E9" w:rsidRDefault="001142E9">
            <w:pPr>
              <w:spacing w:after="0" w:line="240" w:lineRule="auto"/>
              <w:rPr>
                <w:rFonts w:ascii="Arial" w:eastAsia="Aptos" w:hAnsi="Arial" w:cs="Arial"/>
                <w:sz w:val="22"/>
                <w:szCs w:val="22"/>
              </w:rPr>
            </w:pPr>
          </w:p>
          <w:p w14:paraId="52A5EE01"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 xml:space="preserve">note text similarities ‘maximum benefits from their situational experiences’; </w:t>
            </w:r>
          </w:p>
          <w:p w14:paraId="52A5EE02" w14:textId="77777777" w:rsidR="001142E9" w:rsidRDefault="001142E9">
            <w:pPr>
              <w:spacing w:after="0" w:line="240" w:lineRule="auto"/>
              <w:rPr>
                <w:rFonts w:ascii="Arial" w:eastAsia="Aptos" w:hAnsi="Arial" w:cs="Arial"/>
                <w:sz w:val="22"/>
                <w:szCs w:val="22"/>
              </w:rPr>
            </w:pPr>
          </w:p>
          <w:p w14:paraId="52A5EE03" w14:textId="77777777" w:rsidR="001142E9" w:rsidRDefault="001142E9">
            <w:pPr>
              <w:spacing w:after="0" w:line="240" w:lineRule="auto"/>
              <w:rPr>
                <w:rFonts w:ascii="Arial" w:eastAsia="Aptos" w:hAnsi="Arial" w:cs="Arial"/>
                <w:sz w:val="22"/>
                <w:szCs w:val="22"/>
              </w:rPr>
            </w:pPr>
          </w:p>
          <w:p w14:paraId="52A5EE04" w14:textId="77777777" w:rsidR="001142E9" w:rsidRDefault="001142E9">
            <w:pPr>
              <w:spacing w:after="0" w:line="240" w:lineRule="auto"/>
              <w:rPr>
                <w:rFonts w:ascii="Arial" w:eastAsia="Aptos" w:hAnsi="Arial" w:cs="Arial"/>
                <w:sz w:val="22"/>
                <w:szCs w:val="22"/>
              </w:rPr>
            </w:pPr>
          </w:p>
          <w:p w14:paraId="52A5EE05"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‘what emerges from this discourse’ is rendered as ‘the discourse presented highlights’</w:t>
            </w:r>
          </w:p>
        </w:tc>
      </w:tr>
      <w:tr w:rsidR="001142E9" w14:paraId="52A5EE0E" w14:textId="77777777">
        <w:tc>
          <w:tcPr>
            <w:tcW w:w="881" w:type="dxa"/>
          </w:tcPr>
          <w:p w14:paraId="52A5EE07"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68</w:t>
            </w:r>
          </w:p>
        </w:tc>
        <w:tc>
          <w:tcPr>
            <w:tcW w:w="1328" w:type="dxa"/>
          </w:tcPr>
          <w:p w14:paraId="52A5EE08"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49</w:t>
            </w:r>
          </w:p>
        </w:tc>
        <w:tc>
          <w:tcPr>
            <w:tcW w:w="3392" w:type="dxa"/>
          </w:tcPr>
          <w:p w14:paraId="52A5EE09"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The focus towards such discourse has been furthered by Korthagen and Vasolos (2005: 48). They contend that when student teachers engage in reflective practice, they should probe and explore the following dispositions and questions</w:t>
            </w:r>
            <w:r>
              <w:rPr>
                <w:rFonts w:ascii="Arial" w:eastAsia="Aptos" w:hAnsi="Arial" w:cs="Arial"/>
                <w:color w:val="000000"/>
                <w:sz w:val="22"/>
                <w:szCs w:val="22"/>
              </w:rPr>
              <w:br/>
            </w:r>
            <w:r>
              <w:rPr>
                <w:rFonts w:ascii="Arial" w:eastAsia="Aptos" w:hAnsi="Arial" w:cs="Arial"/>
                <w:color w:val="000000"/>
                <w:sz w:val="22"/>
                <w:szCs w:val="22"/>
              </w:rPr>
              <w:t xml:space="preserve"> What was the context?  </w:t>
            </w:r>
            <w:r>
              <w:rPr>
                <w:rFonts w:ascii="Arial" w:eastAsia="Aptos" w:hAnsi="Arial" w:cs="Arial"/>
                <w:color w:val="000000"/>
                <w:sz w:val="22"/>
                <w:szCs w:val="22"/>
              </w:rPr>
              <w:br/>
              <w:t>What did I want?</w:t>
            </w:r>
            <w:r>
              <w:rPr>
                <w:rFonts w:ascii="Arial" w:eastAsia="Aptos" w:hAnsi="Arial" w:cs="Arial"/>
                <w:color w:val="000000"/>
                <w:sz w:val="22"/>
                <w:szCs w:val="22"/>
              </w:rPr>
              <w:br/>
            </w:r>
            <w:r>
              <w:rPr>
                <w:rFonts w:ascii="Arial" w:eastAsia="Aptos" w:hAnsi="Arial" w:cs="Arial"/>
                <w:color w:val="000000"/>
                <w:sz w:val="22"/>
                <w:szCs w:val="22"/>
              </w:rPr>
              <w:t> What did I do?</w:t>
            </w:r>
            <w:r>
              <w:rPr>
                <w:rFonts w:ascii="Arial" w:eastAsia="Aptos" w:hAnsi="Arial" w:cs="Arial"/>
                <w:color w:val="000000"/>
                <w:sz w:val="22"/>
                <w:szCs w:val="22"/>
              </w:rPr>
              <w:br/>
            </w:r>
            <w:r>
              <w:rPr>
                <w:rFonts w:ascii="Arial" w:eastAsia="Aptos" w:hAnsi="Arial" w:cs="Arial"/>
                <w:color w:val="000000"/>
                <w:sz w:val="22"/>
                <w:szCs w:val="22"/>
              </w:rPr>
              <w:t> What was I thinking?</w:t>
            </w:r>
            <w:r>
              <w:rPr>
                <w:rFonts w:ascii="Arial" w:eastAsia="Aptos" w:hAnsi="Arial" w:cs="Arial"/>
                <w:color w:val="000000"/>
                <w:sz w:val="22"/>
                <w:szCs w:val="22"/>
              </w:rPr>
              <w:br/>
            </w:r>
            <w:r>
              <w:rPr>
                <w:rFonts w:ascii="Arial" w:eastAsia="Aptos" w:hAnsi="Arial" w:cs="Arial"/>
                <w:color w:val="000000"/>
                <w:sz w:val="22"/>
                <w:szCs w:val="22"/>
              </w:rPr>
              <w:t> How did I feel?</w:t>
            </w:r>
            <w:r>
              <w:rPr>
                <w:rFonts w:ascii="Arial" w:eastAsia="Aptos" w:hAnsi="Arial" w:cs="Arial"/>
                <w:color w:val="000000"/>
                <w:sz w:val="22"/>
                <w:szCs w:val="22"/>
              </w:rPr>
              <w:br/>
            </w:r>
            <w:r>
              <w:rPr>
                <w:rFonts w:ascii="Arial" w:eastAsia="Aptos" w:hAnsi="Arial" w:cs="Arial"/>
                <w:color w:val="000000"/>
                <w:sz w:val="22"/>
                <w:szCs w:val="22"/>
              </w:rPr>
              <w:t> What did the pupils want?</w:t>
            </w:r>
            <w:r>
              <w:rPr>
                <w:rFonts w:ascii="Arial" w:eastAsia="Aptos" w:hAnsi="Arial" w:cs="Arial"/>
                <w:color w:val="000000"/>
                <w:sz w:val="22"/>
                <w:szCs w:val="22"/>
              </w:rPr>
              <w:br/>
            </w:r>
            <w:r>
              <w:rPr>
                <w:rFonts w:ascii="Arial" w:eastAsia="Aptos" w:hAnsi="Arial" w:cs="Arial"/>
                <w:color w:val="000000"/>
                <w:sz w:val="22"/>
                <w:szCs w:val="22"/>
              </w:rPr>
              <w:t> What did the pupils do?</w:t>
            </w:r>
            <w:r>
              <w:rPr>
                <w:rFonts w:ascii="Arial" w:eastAsia="Aptos" w:hAnsi="Arial" w:cs="Arial"/>
                <w:color w:val="000000"/>
                <w:sz w:val="22"/>
                <w:szCs w:val="22"/>
              </w:rPr>
              <w:br/>
            </w:r>
            <w:r>
              <w:rPr>
                <w:rFonts w:ascii="Arial" w:eastAsia="Aptos" w:hAnsi="Arial" w:cs="Arial"/>
                <w:color w:val="000000"/>
                <w:sz w:val="22"/>
                <w:szCs w:val="22"/>
              </w:rPr>
              <w:t> What were the pupils thinking?</w:t>
            </w:r>
            <w:r>
              <w:rPr>
                <w:rFonts w:ascii="Arial" w:eastAsia="Aptos" w:hAnsi="Arial" w:cs="Arial"/>
                <w:color w:val="000000"/>
                <w:sz w:val="22"/>
                <w:szCs w:val="22"/>
              </w:rPr>
              <w:br/>
            </w:r>
            <w:r>
              <w:rPr>
                <w:rFonts w:ascii="Arial" w:eastAsia="Aptos" w:hAnsi="Arial" w:cs="Arial"/>
                <w:color w:val="000000"/>
                <w:sz w:val="22"/>
                <w:szCs w:val="22"/>
              </w:rPr>
              <w:t> How did the pupils feel?</w:t>
            </w:r>
            <w:r>
              <w:rPr>
                <w:rFonts w:ascii="Arial" w:eastAsia="Aptos" w:hAnsi="Arial" w:cs="Arial"/>
                <w:color w:val="000000"/>
                <w:sz w:val="22"/>
                <w:szCs w:val="22"/>
              </w:rPr>
              <w:br/>
              <w:t xml:space="preserve">(Korthagen and Vasolos, 2005: 48). </w:t>
            </w:r>
          </w:p>
          <w:p w14:paraId="52A5EE0A" w14:textId="77777777" w:rsidR="001142E9" w:rsidRDefault="001142E9">
            <w:pPr>
              <w:spacing w:after="0" w:line="240" w:lineRule="auto"/>
              <w:rPr>
                <w:rFonts w:ascii="Arial" w:hAnsi="Arial" w:cs="Arial"/>
                <w:color w:val="000000"/>
                <w:sz w:val="22"/>
                <w:szCs w:val="22"/>
              </w:rPr>
            </w:pPr>
          </w:p>
        </w:tc>
        <w:tc>
          <w:tcPr>
            <w:tcW w:w="3399" w:type="dxa"/>
          </w:tcPr>
          <w:p w14:paraId="52A5EE0B"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The focus on attending to feelings and emotions has been furthered by Korthagen and Vasolos (2005: 48). They recommend that when student teachers‟ engage in reflective practice, they should probe and explore the following questions:</w:t>
            </w:r>
            <w:r>
              <w:rPr>
                <w:rFonts w:ascii="Arial" w:eastAsia="Aptos" w:hAnsi="Arial" w:cs="Arial"/>
                <w:color w:val="000000"/>
                <w:sz w:val="22"/>
                <w:szCs w:val="22"/>
              </w:rPr>
              <w:br/>
            </w:r>
            <w:r>
              <w:rPr>
                <w:rFonts w:ascii="Arial" w:eastAsia="Aptos" w:hAnsi="Arial" w:cs="Arial"/>
                <w:color w:val="000000"/>
                <w:sz w:val="22"/>
                <w:szCs w:val="22"/>
              </w:rPr>
              <w:t>What was the context? What did I want? What did I do?</w:t>
            </w:r>
            <w:r>
              <w:rPr>
                <w:rFonts w:ascii="Arial" w:eastAsia="Aptos" w:hAnsi="Arial" w:cs="Arial"/>
                <w:color w:val="000000"/>
                <w:sz w:val="22"/>
                <w:szCs w:val="22"/>
              </w:rPr>
              <w:br/>
              <w:t>What was I thinking? How did I feel?</w:t>
            </w:r>
            <w:r>
              <w:rPr>
                <w:rFonts w:ascii="Arial" w:eastAsia="Aptos" w:hAnsi="Arial" w:cs="Arial"/>
                <w:color w:val="000000"/>
                <w:sz w:val="22"/>
                <w:szCs w:val="22"/>
              </w:rPr>
              <w:br/>
              <w:t>What did the pupils want? What did the pupils do? What were the pupils thinking? How did the pupils feel?</w:t>
            </w:r>
          </w:p>
        </w:tc>
        <w:tc>
          <w:tcPr>
            <w:tcW w:w="1960" w:type="dxa"/>
          </w:tcPr>
          <w:p w14:paraId="52A5EE0C"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Structural and near-verbatim ; identical references</w:t>
            </w:r>
          </w:p>
        </w:tc>
        <w:tc>
          <w:tcPr>
            <w:tcW w:w="2987" w:type="dxa"/>
          </w:tcPr>
          <w:p w14:paraId="52A5EE0D"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Near-identical questions to Z-M</w:t>
            </w:r>
          </w:p>
        </w:tc>
      </w:tr>
      <w:tr w:rsidR="001142E9" w14:paraId="52A5EE16" w14:textId="77777777">
        <w:tc>
          <w:tcPr>
            <w:tcW w:w="881" w:type="dxa"/>
          </w:tcPr>
          <w:p w14:paraId="52A5EE0F"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68</w:t>
            </w:r>
          </w:p>
        </w:tc>
        <w:tc>
          <w:tcPr>
            <w:tcW w:w="1328" w:type="dxa"/>
          </w:tcPr>
          <w:p w14:paraId="52A5EE10"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49</w:t>
            </w:r>
          </w:p>
        </w:tc>
        <w:tc>
          <w:tcPr>
            <w:tcW w:w="3392" w:type="dxa"/>
          </w:tcPr>
          <w:p w14:paraId="52A5EE11"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The importance attributed to such approaches, distinguishes a balanced focus on wanting, feeling, thinking, and doing, and differs from contrasting views of reflective practice, which accentuate rational analysis (Dewey, 1910, 1933). </w:t>
            </w:r>
          </w:p>
          <w:p w14:paraId="52A5EE12" w14:textId="77777777" w:rsidR="001142E9" w:rsidRDefault="001142E9">
            <w:pPr>
              <w:spacing w:after="0" w:line="240" w:lineRule="auto"/>
              <w:rPr>
                <w:rFonts w:ascii="Arial" w:hAnsi="Arial" w:cs="Arial"/>
                <w:color w:val="000000"/>
                <w:sz w:val="22"/>
                <w:szCs w:val="22"/>
              </w:rPr>
            </w:pPr>
          </w:p>
        </w:tc>
        <w:tc>
          <w:tcPr>
            <w:tcW w:w="3399" w:type="dxa"/>
          </w:tcPr>
          <w:p w14:paraId="52A5EE13"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The importance placed on this approach, marked by a balanced focus on wanting, feeling, thinking, and doing, distinguishes it from other views of reflective practice, which emphasise rational analysis (Dewey, 1910, 1933)</w:t>
            </w:r>
          </w:p>
        </w:tc>
        <w:tc>
          <w:tcPr>
            <w:tcW w:w="1960" w:type="dxa"/>
          </w:tcPr>
          <w:p w14:paraId="52A5EE14"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Verbatim, including identical reference to Dewey</w:t>
            </w:r>
          </w:p>
        </w:tc>
        <w:tc>
          <w:tcPr>
            <w:tcW w:w="2987" w:type="dxa"/>
          </w:tcPr>
          <w:p w14:paraId="52A5EE15"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Word-for-word copying</w:t>
            </w:r>
          </w:p>
        </w:tc>
      </w:tr>
      <w:tr w:rsidR="001142E9" w14:paraId="52A5EE1F" w14:textId="77777777">
        <w:tc>
          <w:tcPr>
            <w:tcW w:w="881" w:type="dxa"/>
          </w:tcPr>
          <w:p w14:paraId="52A5EE17" w14:textId="77777777" w:rsidR="001142E9" w:rsidRDefault="002B3BB7">
            <w:pPr>
              <w:spacing w:after="0" w:line="240" w:lineRule="auto"/>
              <w:rPr>
                <w:rFonts w:ascii="Arial" w:hAnsi="Arial" w:cs="Arial"/>
                <w:sz w:val="22"/>
                <w:szCs w:val="22"/>
              </w:rPr>
            </w:pPr>
            <w:r>
              <w:rPr>
                <w:rFonts w:ascii="Arial" w:eastAsia="Aptos" w:hAnsi="Arial" w:cs="Arial"/>
                <w:sz w:val="22"/>
                <w:szCs w:val="22"/>
              </w:rPr>
              <w:t>68</w:t>
            </w:r>
          </w:p>
        </w:tc>
        <w:tc>
          <w:tcPr>
            <w:tcW w:w="1328" w:type="dxa"/>
          </w:tcPr>
          <w:p w14:paraId="52A5EE18"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49</w:t>
            </w:r>
          </w:p>
        </w:tc>
        <w:tc>
          <w:tcPr>
            <w:tcW w:w="3392" w:type="dxa"/>
          </w:tcPr>
          <w:p w14:paraId="52A5EE19"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Kolb (1984) explicitly associates reflective practice to his conception and theoretical paradigm of experiential learning, which advocates a four-stage cycle of learning underpinned by four distinct cycles of learning.</w:t>
            </w:r>
          </w:p>
          <w:p w14:paraId="52A5EE1A" w14:textId="77777777" w:rsidR="001142E9" w:rsidRDefault="001142E9">
            <w:pPr>
              <w:spacing w:after="0" w:line="240" w:lineRule="auto"/>
              <w:rPr>
                <w:rFonts w:ascii="Arial" w:hAnsi="Arial" w:cs="Arial"/>
                <w:color w:val="000000"/>
                <w:sz w:val="22"/>
                <w:szCs w:val="22"/>
              </w:rPr>
            </w:pPr>
          </w:p>
        </w:tc>
        <w:tc>
          <w:tcPr>
            <w:tcW w:w="3399" w:type="dxa"/>
          </w:tcPr>
          <w:p w14:paraId="52A5EE1B"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Kolb (1984) explicitly links reflective practice to his theory of experiential learning, which sets out a 4-stage cycle of learning underpinned by four distinct learning styles. </w:t>
            </w:r>
          </w:p>
          <w:p w14:paraId="52A5EE1C" w14:textId="77777777" w:rsidR="001142E9" w:rsidRDefault="001142E9">
            <w:pPr>
              <w:spacing w:after="0" w:line="240" w:lineRule="auto"/>
              <w:rPr>
                <w:rFonts w:ascii="Arial" w:hAnsi="Arial" w:cs="Arial"/>
                <w:color w:val="000000"/>
                <w:sz w:val="22"/>
                <w:szCs w:val="22"/>
              </w:rPr>
            </w:pPr>
          </w:p>
        </w:tc>
        <w:tc>
          <w:tcPr>
            <w:tcW w:w="1960" w:type="dxa"/>
          </w:tcPr>
          <w:p w14:paraId="52A5EE1D"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Near-verbatim, referencing same Kolb study</w:t>
            </w:r>
          </w:p>
        </w:tc>
        <w:tc>
          <w:tcPr>
            <w:tcW w:w="2987" w:type="dxa"/>
          </w:tcPr>
          <w:p w14:paraId="52A5EE1E"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Note how ‘four distinct learning styles’ becomes ‘four distinct cycles of learning’</w:t>
            </w:r>
          </w:p>
        </w:tc>
      </w:tr>
      <w:tr w:rsidR="001142E9" w14:paraId="52A5EE2C" w14:textId="77777777">
        <w:tc>
          <w:tcPr>
            <w:tcW w:w="881" w:type="dxa"/>
          </w:tcPr>
          <w:p w14:paraId="52A5EE20" w14:textId="77777777" w:rsidR="001142E9" w:rsidRDefault="002B3BB7">
            <w:pPr>
              <w:spacing w:after="0" w:line="240" w:lineRule="auto"/>
              <w:rPr>
                <w:rFonts w:ascii="Arial" w:hAnsi="Arial" w:cs="Arial"/>
                <w:sz w:val="22"/>
                <w:szCs w:val="22"/>
              </w:rPr>
            </w:pPr>
            <w:r>
              <w:rPr>
                <w:rFonts w:ascii="Arial" w:eastAsia="Aptos" w:hAnsi="Arial" w:cs="Arial"/>
                <w:sz w:val="22"/>
                <w:szCs w:val="22"/>
              </w:rPr>
              <w:t>68</w:t>
            </w:r>
          </w:p>
        </w:tc>
        <w:tc>
          <w:tcPr>
            <w:tcW w:w="1328" w:type="dxa"/>
          </w:tcPr>
          <w:p w14:paraId="52A5EE21"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50</w:t>
            </w:r>
          </w:p>
        </w:tc>
        <w:tc>
          <w:tcPr>
            <w:tcW w:w="3392" w:type="dxa"/>
          </w:tcPr>
          <w:p w14:paraId="52A5EE22"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Kolb defines this cycle of learning as immediate or concrete experiences that:</w:t>
            </w:r>
            <w:r>
              <w:rPr>
                <w:rFonts w:ascii="Arial" w:eastAsia="Aptos" w:hAnsi="Arial" w:cs="Arial"/>
                <w:color w:val="000000"/>
                <w:sz w:val="22"/>
                <w:szCs w:val="22"/>
              </w:rPr>
              <w:br/>
              <w:t>1. Provide the basis for observations and reflections;</w:t>
            </w:r>
            <w:r>
              <w:rPr>
                <w:rFonts w:ascii="Arial" w:eastAsia="Aptos" w:hAnsi="Arial" w:cs="Arial"/>
                <w:color w:val="000000"/>
                <w:sz w:val="22"/>
                <w:szCs w:val="22"/>
              </w:rPr>
              <w:br/>
              <w:t>2. Observations and reflections are distilled and assimilated into abstract concepts;</w:t>
            </w:r>
            <w:r>
              <w:rPr>
                <w:rFonts w:ascii="Arial" w:eastAsia="Aptos" w:hAnsi="Arial" w:cs="Arial"/>
                <w:color w:val="000000"/>
                <w:sz w:val="22"/>
                <w:szCs w:val="22"/>
              </w:rPr>
              <w:br/>
              <w:t>3. Produce new possibilities for action, which can be actively tested;</w:t>
            </w:r>
            <w:r>
              <w:rPr>
                <w:rFonts w:ascii="Arial" w:eastAsia="Aptos" w:hAnsi="Arial" w:cs="Arial"/>
                <w:color w:val="000000"/>
                <w:sz w:val="22"/>
                <w:szCs w:val="22"/>
              </w:rPr>
              <w:br/>
              <w:t>4. Through experimentation, the possibility emerges for new experiences to be created.</w:t>
            </w:r>
            <w:r>
              <w:rPr>
                <w:rFonts w:ascii="Arial" w:eastAsia="Aptos" w:hAnsi="Arial" w:cs="Arial"/>
                <w:color w:val="000000"/>
                <w:sz w:val="22"/>
                <w:szCs w:val="22"/>
              </w:rPr>
              <w:br/>
              <w:t>(Kolb, 1984).</w:t>
            </w:r>
          </w:p>
          <w:p w14:paraId="52A5EE23" w14:textId="77777777" w:rsidR="001142E9" w:rsidRDefault="001142E9">
            <w:pPr>
              <w:spacing w:after="0" w:line="240" w:lineRule="auto"/>
              <w:rPr>
                <w:rFonts w:ascii="Arial" w:hAnsi="Arial" w:cs="Arial"/>
                <w:color w:val="000000"/>
                <w:sz w:val="22"/>
                <w:szCs w:val="22"/>
              </w:rPr>
            </w:pPr>
          </w:p>
        </w:tc>
        <w:tc>
          <w:tcPr>
            <w:tcW w:w="3399" w:type="dxa"/>
          </w:tcPr>
          <w:p w14:paraId="52A5EE24"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The cycle can be summarised as: immediate or concrete experiences (1) provide the basis for observations and reflections; observations and reflections (2) are distilled and assimilated into abstract concepts (3), which produce new possibilities for action, which can be actively tested (4) through experimentation, that in turn, create new experiences.</w:t>
            </w:r>
          </w:p>
          <w:p w14:paraId="52A5EE25" w14:textId="77777777" w:rsidR="001142E9" w:rsidRDefault="001142E9">
            <w:pPr>
              <w:spacing w:after="0" w:line="240" w:lineRule="auto"/>
              <w:rPr>
                <w:rFonts w:ascii="Arial" w:hAnsi="Arial" w:cs="Arial"/>
                <w:color w:val="000000"/>
                <w:sz w:val="22"/>
                <w:szCs w:val="22"/>
              </w:rPr>
            </w:pPr>
          </w:p>
        </w:tc>
        <w:tc>
          <w:tcPr>
            <w:tcW w:w="1960" w:type="dxa"/>
          </w:tcPr>
          <w:p w14:paraId="52A5EE26"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 xml:space="preserve">Near-verbatim, with minor paraphrase; </w:t>
            </w:r>
          </w:p>
          <w:p w14:paraId="52A5EE27" w14:textId="77777777" w:rsidR="001142E9" w:rsidRDefault="001142E9">
            <w:pPr>
              <w:spacing w:after="0" w:line="240" w:lineRule="auto"/>
              <w:rPr>
                <w:rFonts w:ascii="Arial" w:eastAsia="Aptos" w:hAnsi="Arial" w:cs="Arial"/>
                <w:sz w:val="22"/>
                <w:szCs w:val="22"/>
              </w:rPr>
            </w:pPr>
          </w:p>
          <w:p w14:paraId="52A5EE28"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uses Z-M scaffold including numbering</w:t>
            </w:r>
          </w:p>
        </w:tc>
        <w:tc>
          <w:tcPr>
            <w:tcW w:w="2987" w:type="dxa"/>
          </w:tcPr>
          <w:p w14:paraId="52A5EE29"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Note how ‘can be summarised’ is rendered as ‘defines’</w:t>
            </w:r>
          </w:p>
          <w:p w14:paraId="52A5EE2A" w14:textId="77777777" w:rsidR="001142E9" w:rsidRDefault="001142E9">
            <w:pPr>
              <w:spacing w:after="0" w:line="240" w:lineRule="auto"/>
              <w:rPr>
                <w:rFonts w:ascii="Arial" w:eastAsia="Aptos" w:hAnsi="Arial" w:cs="Arial"/>
                <w:sz w:val="22"/>
                <w:szCs w:val="22"/>
              </w:rPr>
            </w:pPr>
          </w:p>
          <w:p w14:paraId="52A5EE2B"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Word similarities include ‘distilled and assimilated’; ‘produce new possibilities for action’; ‘through experimentation’</w:t>
            </w:r>
          </w:p>
        </w:tc>
      </w:tr>
      <w:tr w:rsidR="001142E9" w14:paraId="52A5EE35" w14:textId="77777777">
        <w:tc>
          <w:tcPr>
            <w:tcW w:w="881" w:type="dxa"/>
          </w:tcPr>
          <w:p w14:paraId="52A5EE2D" w14:textId="77777777" w:rsidR="001142E9" w:rsidRDefault="002B3BB7">
            <w:pPr>
              <w:spacing w:after="0" w:line="240" w:lineRule="auto"/>
              <w:rPr>
                <w:rFonts w:ascii="Arial" w:hAnsi="Arial" w:cs="Arial"/>
                <w:sz w:val="22"/>
                <w:szCs w:val="22"/>
              </w:rPr>
            </w:pPr>
            <w:r>
              <w:rPr>
                <w:rFonts w:ascii="Arial" w:eastAsia="Aptos" w:hAnsi="Arial" w:cs="Arial"/>
                <w:sz w:val="22"/>
                <w:szCs w:val="22"/>
              </w:rPr>
              <w:t>69</w:t>
            </w:r>
          </w:p>
        </w:tc>
        <w:tc>
          <w:tcPr>
            <w:tcW w:w="1328" w:type="dxa"/>
          </w:tcPr>
          <w:p w14:paraId="52A5EE2E"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50</w:t>
            </w:r>
          </w:p>
        </w:tc>
        <w:tc>
          <w:tcPr>
            <w:tcW w:w="3392" w:type="dxa"/>
          </w:tcPr>
          <w:p w14:paraId="52A5EE2F"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Kolb (1984) states that this process of learning is ‘self-perpetuating’ in that the learner changes from direct involvement to analytical detachment, which creates new experiences for practitioners to be able to reflect on and re-conceptualise values and beliefs concerning practice. </w:t>
            </w:r>
          </w:p>
          <w:p w14:paraId="52A5EE30" w14:textId="77777777" w:rsidR="001142E9" w:rsidRDefault="001142E9">
            <w:pPr>
              <w:spacing w:after="0" w:line="240" w:lineRule="auto"/>
              <w:rPr>
                <w:rFonts w:ascii="Arial" w:hAnsi="Arial" w:cs="Arial"/>
                <w:color w:val="000000"/>
                <w:sz w:val="22"/>
                <w:szCs w:val="22"/>
              </w:rPr>
            </w:pPr>
          </w:p>
        </w:tc>
        <w:tc>
          <w:tcPr>
            <w:tcW w:w="3399" w:type="dxa"/>
          </w:tcPr>
          <w:p w14:paraId="52A5EE31"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Kolb describes this process of learning as “self-perpetuating‟ in that the learner shifts from actor to observer, from direct involvement to analytical detachment, which creates a new form of experience to reflect on and conceptualise. </w:t>
            </w:r>
          </w:p>
          <w:p w14:paraId="52A5EE32" w14:textId="77777777" w:rsidR="001142E9" w:rsidRDefault="001142E9">
            <w:pPr>
              <w:spacing w:after="0" w:line="240" w:lineRule="auto"/>
              <w:rPr>
                <w:rFonts w:ascii="Arial" w:hAnsi="Arial" w:cs="Arial"/>
                <w:color w:val="000000"/>
                <w:sz w:val="22"/>
                <w:szCs w:val="22"/>
              </w:rPr>
            </w:pPr>
          </w:p>
        </w:tc>
        <w:tc>
          <w:tcPr>
            <w:tcW w:w="1960" w:type="dxa"/>
          </w:tcPr>
          <w:p w14:paraId="52A5EE33"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Near-verbatim, with addition of ‘values and beliefs concerning practice’</w:t>
            </w:r>
          </w:p>
        </w:tc>
        <w:tc>
          <w:tcPr>
            <w:tcW w:w="2987" w:type="dxa"/>
          </w:tcPr>
          <w:p w14:paraId="52A5EE34"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Word similarities between Arday and Z-M: ‘self-perpetuating’;  ‘analytical detachment which creates’</w:t>
            </w:r>
          </w:p>
        </w:tc>
      </w:tr>
      <w:tr w:rsidR="001142E9" w14:paraId="52A5EE3E" w14:textId="77777777">
        <w:tc>
          <w:tcPr>
            <w:tcW w:w="881" w:type="dxa"/>
          </w:tcPr>
          <w:p w14:paraId="52A5EE36" w14:textId="77777777" w:rsidR="001142E9" w:rsidRDefault="002B3BB7">
            <w:pPr>
              <w:spacing w:after="0" w:line="240" w:lineRule="auto"/>
              <w:rPr>
                <w:rFonts w:ascii="Arial" w:hAnsi="Arial" w:cs="Arial"/>
                <w:sz w:val="22"/>
                <w:szCs w:val="22"/>
              </w:rPr>
            </w:pPr>
            <w:r>
              <w:rPr>
                <w:rFonts w:ascii="Arial" w:eastAsia="Aptos" w:hAnsi="Arial" w:cs="Arial"/>
                <w:sz w:val="22"/>
                <w:szCs w:val="22"/>
              </w:rPr>
              <w:t>69</w:t>
            </w:r>
          </w:p>
        </w:tc>
        <w:tc>
          <w:tcPr>
            <w:tcW w:w="1328" w:type="dxa"/>
          </w:tcPr>
          <w:p w14:paraId="52A5EE37" w14:textId="77777777" w:rsidR="001142E9" w:rsidRDefault="002B3BB7">
            <w:pPr>
              <w:spacing w:after="0" w:line="240" w:lineRule="auto"/>
              <w:rPr>
                <w:rFonts w:ascii="Arial" w:hAnsi="Arial" w:cs="Arial"/>
                <w:sz w:val="22"/>
                <w:szCs w:val="22"/>
              </w:rPr>
            </w:pPr>
            <w:r>
              <w:rPr>
                <w:rFonts w:ascii="Arial" w:eastAsia="Aptos" w:hAnsi="Arial" w:cs="Arial"/>
                <w:color w:val="000000"/>
                <w:sz w:val="22"/>
                <w:szCs w:val="22"/>
              </w:rPr>
              <w:t>50</w:t>
            </w:r>
          </w:p>
        </w:tc>
        <w:tc>
          <w:tcPr>
            <w:tcW w:w="3392" w:type="dxa"/>
          </w:tcPr>
          <w:p w14:paraId="52A5EE38"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 xml:space="preserve">Essentially, this theory has been constructed on the notion that experiential learning is a process, which involves reinventing professional constructs through personal experiences and social systems rather than the application of standardised techniques towards current practices (Kolb, 1984). </w:t>
            </w:r>
          </w:p>
          <w:p w14:paraId="52A5EE39" w14:textId="77777777" w:rsidR="001142E9" w:rsidRDefault="001142E9">
            <w:pPr>
              <w:spacing w:after="0" w:line="240" w:lineRule="auto"/>
              <w:rPr>
                <w:rFonts w:ascii="Arial" w:hAnsi="Arial" w:cs="Arial"/>
                <w:sz w:val="22"/>
                <w:szCs w:val="22"/>
              </w:rPr>
            </w:pPr>
          </w:p>
        </w:tc>
        <w:tc>
          <w:tcPr>
            <w:tcW w:w="3399" w:type="dxa"/>
          </w:tcPr>
          <w:p w14:paraId="52A5EE3A" w14:textId="77777777" w:rsidR="001142E9" w:rsidRDefault="002B3BB7">
            <w:pPr>
              <w:spacing w:after="0" w:line="240" w:lineRule="auto"/>
              <w:rPr>
                <w:rFonts w:ascii="Arial" w:hAnsi="Arial" w:cs="Arial"/>
                <w:color w:val="000000"/>
                <w:sz w:val="22"/>
                <w:szCs w:val="22"/>
              </w:rPr>
            </w:pPr>
            <w:r>
              <w:rPr>
                <w:rFonts w:ascii="Arial" w:eastAsia="Aptos" w:hAnsi="Arial" w:cs="Arial"/>
                <w:color w:val="000000"/>
                <w:sz w:val="22"/>
                <w:szCs w:val="22"/>
              </w:rPr>
              <w:t>His theory is built on the notion that experiential learning is a process, which involves re-creating personal lives and social systems rather than the application of a series of techniques to current practice. It is distinguished by attending to the organisation and construction of learning from observations made in some practical situation so that learning can then lead to improved practice.</w:t>
            </w:r>
          </w:p>
          <w:p w14:paraId="52A5EE3B" w14:textId="77777777" w:rsidR="001142E9" w:rsidRDefault="001142E9">
            <w:pPr>
              <w:spacing w:after="0" w:line="240" w:lineRule="auto"/>
              <w:rPr>
                <w:rFonts w:ascii="Arial" w:hAnsi="Arial" w:cs="Arial"/>
                <w:sz w:val="22"/>
                <w:szCs w:val="22"/>
              </w:rPr>
            </w:pPr>
          </w:p>
        </w:tc>
        <w:tc>
          <w:tcPr>
            <w:tcW w:w="1960" w:type="dxa"/>
          </w:tcPr>
          <w:p w14:paraId="52A5EE3C"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Near-verbatim</w:t>
            </w:r>
          </w:p>
        </w:tc>
        <w:tc>
          <w:tcPr>
            <w:tcW w:w="2987" w:type="dxa"/>
          </w:tcPr>
          <w:p w14:paraId="52A5EE3D" w14:textId="77777777" w:rsidR="001142E9" w:rsidRDefault="002B3BB7">
            <w:pPr>
              <w:spacing w:after="0" w:line="240" w:lineRule="auto"/>
              <w:rPr>
                <w:rFonts w:ascii="Arial" w:eastAsia="Aptos" w:hAnsi="Arial" w:cs="Arial"/>
                <w:sz w:val="22"/>
                <w:szCs w:val="22"/>
              </w:rPr>
            </w:pPr>
            <w:r>
              <w:rPr>
                <w:rFonts w:ascii="Arial" w:eastAsia="Aptos" w:hAnsi="Arial" w:cs="Arial"/>
                <w:sz w:val="22"/>
                <w:szCs w:val="22"/>
              </w:rPr>
              <w:t>Addition of ‘Essentially’ followed by near-verbatim  (‘personal experiences’ replaces ‘personal lives’; ‘techniques’ becomes ‘standardised techniques’)</w:t>
            </w:r>
          </w:p>
        </w:tc>
      </w:tr>
      <w:tr w:rsidR="001142E9" w14:paraId="52A5EE47" w14:textId="77777777">
        <w:tc>
          <w:tcPr>
            <w:tcW w:w="881" w:type="dxa"/>
          </w:tcPr>
          <w:p w14:paraId="52A5EE3F"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75</w:t>
            </w:r>
          </w:p>
        </w:tc>
        <w:tc>
          <w:tcPr>
            <w:tcW w:w="1328" w:type="dxa"/>
          </w:tcPr>
          <w:p w14:paraId="52A5EE40"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58</w:t>
            </w:r>
          </w:p>
        </w:tc>
        <w:tc>
          <w:tcPr>
            <w:tcW w:w="3392" w:type="dxa"/>
          </w:tcPr>
          <w:p w14:paraId="52A5EE41" w14:textId="77777777" w:rsidR="001142E9" w:rsidRDefault="002B3BB7">
            <w:pPr>
              <w:pStyle w:val="p1"/>
              <w:contextualSpacing/>
              <w:rPr>
                <w:rFonts w:ascii="Arial" w:hAnsi="Arial" w:cs="Arial"/>
                <w:sz w:val="22"/>
                <w:szCs w:val="22"/>
              </w:rPr>
            </w:pPr>
            <w:r>
              <w:rPr>
                <w:rFonts w:ascii="Arial" w:hAnsi="Arial" w:cs="Arial"/>
                <w:sz w:val="22"/>
                <w:szCs w:val="22"/>
              </w:rPr>
              <w:t>In attempting to interpret this endeavour, one restrictive disposition, could interpret responsible and autonomous action as the student teachers’ disposition to query aspects of their own practice. Dewey (1910, 1933) expands this consideration and positions accountability within his conceptualisation of reflective thinking which encourages student teachers’ to consider the pedagogical aspects of their teaching and their school practices, as they query various educational constructs and relationships.”</w:t>
            </w:r>
          </w:p>
          <w:p w14:paraId="52A5EE42" w14:textId="77777777" w:rsidR="001142E9" w:rsidRDefault="001142E9">
            <w:pPr>
              <w:spacing w:after="0" w:line="240" w:lineRule="auto"/>
              <w:contextualSpacing/>
              <w:rPr>
                <w:rFonts w:ascii="Arial" w:hAnsi="Arial" w:cs="Arial"/>
                <w:color w:val="000000"/>
                <w:sz w:val="22"/>
                <w:szCs w:val="22"/>
              </w:rPr>
            </w:pPr>
          </w:p>
        </w:tc>
        <w:tc>
          <w:tcPr>
            <w:tcW w:w="3399" w:type="dxa"/>
          </w:tcPr>
          <w:p w14:paraId="52A5EE43" w14:textId="77777777" w:rsidR="001142E9" w:rsidRDefault="001142E9">
            <w:pPr>
              <w:contextualSpacing/>
              <w:rPr>
                <w:rFonts w:ascii="Arial" w:hAnsi="Arial" w:cs="Arial"/>
                <w:sz w:val="22"/>
                <w:szCs w:val="22"/>
              </w:rPr>
            </w:pPr>
          </w:p>
          <w:p w14:paraId="52A5EE44"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One restrictive view could be to interpret responsible and autonomous action can be interpreted as the student teachers’ disposition to question aspects of their own practice. Dewey (1910, 1933) extended this consideration in his conceptualisation of reflective thinking, encouraging student teachers to consider the pedagogical aspects of their teaching and their school practices as they query educational constructs and relationships.”</w:t>
            </w:r>
          </w:p>
        </w:tc>
        <w:tc>
          <w:tcPr>
            <w:tcW w:w="1960" w:type="dxa"/>
          </w:tcPr>
          <w:p w14:paraId="52A5EE45"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Near-verbatim, uses some substitution of terms</w:t>
            </w:r>
          </w:p>
        </w:tc>
        <w:tc>
          <w:tcPr>
            <w:tcW w:w="2987" w:type="dxa"/>
          </w:tcPr>
          <w:p w14:paraId="52A5EE46" w14:textId="77777777" w:rsidR="001142E9" w:rsidRDefault="002B3BB7">
            <w:pPr>
              <w:spacing w:after="0" w:line="240" w:lineRule="auto"/>
              <w:contextualSpacing/>
              <w:rPr>
                <w:rFonts w:ascii="Arial" w:eastAsia="Aptos" w:hAnsi="Arial" w:cs="Arial"/>
                <w:sz w:val="22"/>
                <w:szCs w:val="22"/>
              </w:rPr>
            </w:pPr>
            <w:r>
              <w:rPr>
                <w:rFonts w:ascii="Arial" w:hAnsi="Arial" w:cs="Arial"/>
                <w:color w:val="000000"/>
                <w:sz w:val="22"/>
                <w:szCs w:val="22"/>
              </w:rPr>
              <w:t>Structure and meaning identical. Arday replaces ‘restrictive view’ with ‘restrictive disposition’; ‘query’ for ‘question’; ‘extended’ becomes ‘expands. Otherwise the passage is almost verbatim to Z-M’s.</w:t>
            </w:r>
          </w:p>
        </w:tc>
      </w:tr>
      <w:tr w:rsidR="001142E9" w14:paraId="52A5EE58" w14:textId="77777777">
        <w:tc>
          <w:tcPr>
            <w:tcW w:w="881" w:type="dxa"/>
          </w:tcPr>
          <w:p w14:paraId="52A5EE48"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75</w:t>
            </w:r>
          </w:p>
        </w:tc>
        <w:tc>
          <w:tcPr>
            <w:tcW w:w="1328" w:type="dxa"/>
          </w:tcPr>
          <w:p w14:paraId="52A5EE49"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58</w:t>
            </w:r>
          </w:p>
        </w:tc>
        <w:tc>
          <w:tcPr>
            <w:tcW w:w="3392" w:type="dxa"/>
          </w:tcPr>
          <w:p w14:paraId="52A5EE4A" w14:textId="77777777" w:rsidR="001142E9" w:rsidRDefault="002B3BB7">
            <w:pPr>
              <w:contextualSpacing/>
              <w:rPr>
                <w:rFonts w:ascii="Arial" w:hAnsi="Arial" w:cs="Arial"/>
                <w:sz w:val="22"/>
                <w:szCs w:val="22"/>
              </w:rPr>
            </w:pPr>
            <w:r>
              <w:rPr>
                <w:rFonts w:ascii="Arial" w:eastAsia="Aptos" w:hAnsi="Arial" w:cs="Arial"/>
                <w:sz w:val="22"/>
                <w:szCs w:val="22"/>
              </w:rPr>
              <w:t xml:space="preserve">Dewey highlighted two other orientations situated within professional growth and enquiry, which resonate with responsible action. Dewey (1933) indicates that open mindedness is demonstrated when student teachers reflect on aspects of their teaching practice, with a querying for principles which underpin their own teaching practice and other practitioners immersed within that environment. Such engagement demonstrates an openness to consider and implement alternative approaches and other possibilities. </w:t>
            </w:r>
          </w:p>
          <w:p w14:paraId="52A5EE4B" w14:textId="77777777" w:rsidR="001142E9" w:rsidRDefault="001142E9">
            <w:pPr>
              <w:contextualSpacing/>
              <w:rPr>
                <w:rFonts w:ascii="Arial" w:hAnsi="Arial" w:cs="Arial"/>
                <w:sz w:val="22"/>
                <w:szCs w:val="22"/>
              </w:rPr>
            </w:pPr>
          </w:p>
          <w:p w14:paraId="52A5EE4C" w14:textId="77777777" w:rsidR="001142E9" w:rsidRDefault="001142E9">
            <w:pPr>
              <w:spacing w:after="0" w:line="240" w:lineRule="auto"/>
              <w:contextualSpacing/>
              <w:rPr>
                <w:rFonts w:ascii="Arial" w:hAnsi="Arial" w:cs="Arial"/>
                <w:color w:val="000000"/>
                <w:sz w:val="22"/>
                <w:szCs w:val="22"/>
              </w:rPr>
            </w:pPr>
          </w:p>
        </w:tc>
        <w:tc>
          <w:tcPr>
            <w:tcW w:w="3399" w:type="dxa"/>
          </w:tcPr>
          <w:p w14:paraId="52A5EE4D" w14:textId="77777777" w:rsidR="001142E9" w:rsidRDefault="002B3BB7">
            <w:pPr>
              <w:contextualSpacing/>
              <w:rPr>
                <w:rFonts w:ascii="Arial" w:hAnsi="Arial" w:cs="Arial"/>
                <w:sz w:val="22"/>
                <w:szCs w:val="22"/>
              </w:rPr>
            </w:pPr>
            <w:r>
              <w:rPr>
                <w:rFonts w:ascii="Arial" w:eastAsia="Aptos" w:hAnsi="Arial" w:cs="Arial"/>
                <w:sz w:val="22"/>
                <w:szCs w:val="22"/>
              </w:rPr>
              <w:t xml:space="preserve">Dewey’s other two orientations to professional growth and enquiry can also be aligned to responsible action. </w:t>
            </w:r>
          </w:p>
          <w:p w14:paraId="52A5EE4E" w14:textId="77777777" w:rsidR="001142E9" w:rsidRDefault="001142E9">
            <w:pPr>
              <w:contextualSpacing/>
              <w:rPr>
                <w:rFonts w:ascii="Arial" w:hAnsi="Arial" w:cs="Arial"/>
                <w:sz w:val="22"/>
                <w:szCs w:val="22"/>
              </w:rPr>
            </w:pPr>
          </w:p>
          <w:p w14:paraId="52A5EE4F" w14:textId="77777777" w:rsidR="001142E9" w:rsidRDefault="002B3BB7">
            <w:pPr>
              <w:contextualSpacing/>
              <w:rPr>
                <w:rFonts w:ascii="Arial" w:hAnsi="Arial" w:cs="Arial"/>
                <w:sz w:val="22"/>
                <w:szCs w:val="22"/>
              </w:rPr>
            </w:pPr>
            <w:r>
              <w:rPr>
                <w:rFonts w:ascii="Arial" w:eastAsia="Aptos" w:hAnsi="Arial" w:cs="Arial"/>
                <w:sz w:val="22"/>
                <w:szCs w:val="22"/>
              </w:rPr>
              <w:t xml:space="preserve">    Open mindedness is demonstrated when student teachers reflect on what they do, and by questioning principles underpinning their own teaching practice and that of others, demonstrate openness to alternative approaches and other possibilities. </w:t>
            </w:r>
          </w:p>
          <w:p w14:paraId="52A5EE50" w14:textId="77777777" w:rsidR="001142E9" w:rsidRDefault="001142E9">
            <w:pPr>
              <w:contextualSpacing/>
              <w:rPr>
                <w:rFonts w:ascii="Arial" w:hAnsi="Arial" w:cs="Arial"/>
                <w:sz w:val="22"/>
                <w:szCs w:val="22"/>
              </w:rPr>
            </w:pPr>
          </w:p>
          <w:p w14:paraId="52A5EE51" w14:textId="77777777" w:rsidR="001142E9" w:rsidRDefault="001142E9">
            <w:pPr>
              <w:contextualSpacing/>
              <w:rPr>
                <w:rFonts w:ascii="Arial" w:hAnsi="Arial" w:cs="Arial"/>
                <w:sz w:val="22"/>
                <w:szCs w:val="22"/>
              </w:rPr>
            </w:pPr>
          </w:p>
          <w:p w14:paraId="52A5EE52" w14:textId="77777777" w:rsidR="001142E9" w:rsidRDefault="001142E9">
            <w:pPr>
              <w:contextualSpacing/>
              <w:rPr>
                <w:rFonts w:ascii="Arial" w:hAnsi="Arial" w:cs="Arial"/>
                <w:sz w:val="22"/>
                <w:szCs w:val="22"/>
              </w:rPr>
            </w:pPr>
          </w:p>
          <w:p w14:paraId="52A5EE53" w14:textId="77777777" w:rsidR="001142E9" w:rsidRDefault="001142E9">
            <w:pPr>
              <w:contextualSpacing/>
              <w:rPr>
                <w:rFonts w:ascii="Arial" w:hAnsi="Arial" w:cs="Arial"/>
                <w:sz w:val="22"/>
                <w:szCs w:val="22"/>
              </w:rPr>
            </w:pPr>
          </w:p>
          <w:p w14:paraId="52A5EE54" w14:textId="77777777" w:rsidR="001142E9" w:rsidRDefault="001142E9">
            <w:pPr>
              <w:contextualSpacing/>
              <w:rPr>
                <w:rFonts w:ascii="Arial" w:hAnsi="Arial" w:cs="Arial"/>
                <w:sz w:val="22"/>
                <w:szCs w:val="22"/>
              </w:rPr>
            </w:pPr>
          </w:p>
          <w:p w14:paraId="52A5EE55" w14:textId="77777777" w:rsidR="001142E9" w:rsidRDefault="001142E9">
            <w:pPr>
              <w:spacing w:after="0" w:line="240" w:lineRule="auto"/>
              <w:contextualSpacing/>
              <w:rPr>
                <w:rFonts w:ascii="Arial" w:hAnsi="Arial" w:cs="Arial"/>
                <w:color w:val="000000"/>
                <w:sz w:val="22"/>
                <w:szCs w:val="22"/>
              </w:rPr>
            </w:pPr>
          </w:p>
        </w:tc>
        <w:tc>
          <w:tcPr>
            <w:tcW w:w="1960" w:type="dxa"/>
          </w:tcPr>
          <w:p w14:paraId="52A5EE56"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Close paraphrase in discussion of Dewey; some verbatim text</w:t>
            </w:r>
          </w:p>
        </w:tc>
        <w:tc>
          <w:tcPr>
            <w:tcW w:w="2987" w:type="dxa"/>
          </w:tcPr>
          <w:p w14:paraId="52A5EE57"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Note use of ‘two orientations to professional growth’ in Z-M, becomes ‘two other orientations situated within professional growth and enquiry’ in Arday; ‘reflect on what they do’ becomes ‘reflect on aspects of their teaching practice’; ‘questioning principles’ becomes ‘querying for principles’; ‘and that of others’ becomes ‘other practitioners’</w:t>
            </w:r>
          </w:p>
        </w:tc>
      </w:tr>
      <w:tr w:rsidR="001142E9" w14:paraId="52A5EE6A" w14:textId="77777777">
        <w:tc>
          <w:tcPr>
            <w:tcW w:w="881" w:type="dxa"/>
          </w:tcPr>
          <w:p w14:paraId="52A5EE59"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76</w:t>
            </w:r>
          </w:p>
        </w:tc>
        <w:tc>
          <w:tcPr>
            <w:tcW w:w="1328" w:type="dxa"/>
          </w:tcPr>
          <w:p w14:paraId="52A5EE5A"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58</w:t>
            </w:r>
          </w:p>
        </w:tc>
        <w:tc>
          <w:tcPr>
            <w:tcW w:w="3392" w:type="dxa"/>
          </w:tcPr>
          <w:p w14:paraId="52A5EE5B" w14:textId="77777777" w:rsidR="001142E9" w:rsidRDefault="002B3BB7">
            <w:pPr>
              <w:contextualSpacing/>
              <w:rPr>
                <w:rFonts w:ascii="Arial" w:hAnsi="Arial" w:cs="Arial"/>
                <w:sz w:val="22"/>
                <w:szCs w:val="22"/>
              </w:rPr>
            </w:pPr>
            <w:r>
              <w:rPr>
                <w:rFonts w:ascii="Arial" w:eastAsia="Aptos" w:hAnsi="Arial" w:cs="Arial"/>
                <w:sz w:val="22"/>
                <w:szCs w:val="22"/>
              </w:rPr>
              <w:t xml:space="preserve">Whole-heartedness resonates with Dewey’s notion of student teachers maintaining an enthusiastic approach towards their teaching, with the view to learning something productive from positive and negative experiences of teaching.  Zeichner and Liston (1996) posit that very clear links can be drawn between reflective practice and assuming responsibility for professional development:  </w:t>
            </w:r>
          </w:p>
          <w:p w14:paraId="52A5EE5C" w14:textId="77777777" w:rsidR="001142E9" w:rsidRDefault="001142E9">
            <w:pPr>
              <w:contextualSpacing/>
              <w:rPr>
                <w:rFonts w:ascii="Arial" w:hAnsi="Arial" w:cs="Arial"/>
                <w:sz w:val="22"/>
                <w:szCs w:val="22"/>
              </w:rPr>
            </w:pPr>
          </w:p>
          <w:p w14:paraId="52A5EE5D" w14:textId="77777777" w:rsidR="001142E9" w:rsidRDefault="001142E9">
            <w:pPr>
              <w:contextualSpacing/>
              <w:rPr>
                <w:rFonts w:ascii="Arial" w:hAnsi="Arial" w:cs="Arial"/>
                <w:sz w:val="22"/>
                <w:szCs w:val="22"/>
              </w:rPr>
            </w:pPr>
          </w:p>
          <w:p w14:paraId="52A5EE5E" w14:textId="77777777" w:rsidR="001142E9" w:rsidRDefault="002B3BB7">
            <w:pPr>
              <w:contextualSpacing/>
              <w:rPr>
                <w:rFonts w:ascii="Arial" w:hAnsi="Arial" w:cs="Arial"/>
                <w:sz w:val="22"/>
                <w:szCs w:val="22"/>
              </w:rPr>
            </w:pPr>
            <w:r>
              <w:rPr>
                <w:rFonts w:ascii="Arial" w:eastAsia="Aptos" w:hAnsi="Arial" w:cs="Arial"/>
                <w:sz w:val="22"/>
                <w:szCs w:val="22"/>
              </w:rPr>
              <w:t>‘</w:t>
            </w:r>
            <w:r>
              <w:rPr>
                <w:rFonts w:ascii="Arial" w:eastAsia="Aptos" w:hAnsi="Arial" w:cs="Arial"/>
                <w:sz w:val="22"/>
                <w:szCs w:val="22"/>
              </w:rPr>
              <w:t>When embracing the concept of reflective teaching, there is often a commitment by teachers to internalise the disposition and skills to study their teaching and become better at teaching over time, a commitment to take responsibility for their own professional development. This assumption of responsibility is a central feature of the idea of a reflective teacher’ (Zeichner and Liston, 1996: 6).</w:t>
            </w:r>
          </w:p>
          <w:p w14:paraId="52A5EE5F" w14:textId="77777777" w:rsidR="001142E9" w:rsidRDefault="001142E9">
            <w:pPr>
              <w:spacing w:after="0" w:line="240" w:lineRule="auto"/>
              <w:contextualSpacing/>
              <w:rPr>
                <w:rFonts w:ascii="Arial" w:hAnsi="Arial" w:cs="Arial"/>
                <w:color w:val="000000"/>
                <w:sz w:val="22"/>
                <w:szCs w:val="22"/>
              </w:rPr>
            </w:pPr>
          </w:p>
        </w:tc>
        <w:tc>
          <w:tcPr>
            <w:tcW w:w="3399" w:type="dxa"/>
          </w:tcPr>
          <w:p w14:paraId="52A5EE60" w14:textId="77777777" w:rsidR="001142E9" w:rsidRDefault="002B3BB7">
            <w:pPr>
              <w:contextualSpacing/>
              <w:rPr>
                <w:rFonts w:ascii="Arial" w:hAnsi="Arial" w:cs="Arial"/>
                <w:sz w:val="22"/>
                <w:szCs w:val="22"/>
              </w:rPr>
            </w:pPr>
            <w:r>
              <w:rPr>
                <w:rFonts w:ascii="Arial" w:eastAsia="Aptos" w:hAnsi="Arial" w:cs="Arial"/>
                <w:sz w:val="22"/>
                <w:szCs w:val="22"/>
              </w:rPr>
              <w:t xml:space="preserve">Whole heartedness is demonstrated when student teachers approach their teaching in an enthusiastic and energetic manner with a frame of mind that is receptive to learning something new from each lesson. </w:t>
            </w:r>
          </w:p>
          <w:p w14:paraId="52A5EE61" w14:textId="77777777" w:rsidR="001142E9" w:rsidRDefault="001142E9">
            <w:pPr>
              <w:contextualSpacing/>
              <w:rPr>
                <w:rFonts w:ascii="Arial" w:hAnsi="Arial" w:cs="Arial"/>
                <w:sz w:val="22"/>
                <w:szCs w:val="22"/>
              </w:rPr>
            </w:pPr>
          </w:p>
          <w:p w14:paraId="52A5EE62" w14:textId="77777777" w:rsidR="001142E9" w:rsidRDefault="001142E9">
            <w:pPr>
              <w:contextualSpacing/>
              <w:rPr>
                <w:rFonts w:ascii="Arial" w:hAnsi="Arial" w:cs="Arial"/>
                <w:sz w:val="22"/>
                <w:szCs w:val="22"/>
              </w:rPr>
            </w:pPr>
          </w:p>
          <w:p w14:paraId="52A5EE63" w14:textId="77777777" w:rsidR="001142E9" w:rsidRDefault="002B3BB7">
            <w:pPr>
              <w:contextualSpacing/>
              <w:rPr>
                <w:rFonts w:ascii="Arial" w:hAnsi="Arial" w:cs="Arial"/>
                <w:sz w:val="22"/>
                <w:szCs w:val="22"/>
              </w:rPr>
            </w:pPr>
            <w:r>
              <w:rPr>
                <w:rFonts w:ascii="Arial" w:eastAsia="Aptos" w:hAnsi="Arial" w:cs="Arial"/>
                <w:sz w:val="22"/>
                <w:szCs w:val="22"/>
              </w:rPr>
              <w:t xml:space="preserve">  Very clear links can be drawn between reflective practice and assuming responsibility for professional development:</w:t>
            </w:r>
          </w:p>
          <w:p w14:paraId="52A5EE64" w14:textId="77777777" w:rsidR="001142E9" w:rsidRDefault="001142E9">
            <w:pPr>
              <w:contextualSpacing/>
              <w:rPr>
                <w:rFonts w:ascii="Arial" w:hAnsi="Arial" w:cs="Arial"/>
                <w:sz w:val="22"/>
                <w:szCs w:val="22"/>
              </w:rPr>
            </w:pPr>
          </w:p>
          <w:p w14:paraId="52A5EE65" w14:textId="77777777" w:rsidR="001142E9" w:rsidRDefault="002B3BB7">
            <w:pPr>
              <w:contextualSpacing/>
              <w:rPr>
                <w:rFonts w:ascii="Arial" w:hAnsi="Arial" w:cs="Arial"/>
                <w:sz w:val="22"/>
                <w:szCs w:val="22"/>
              </w:rPr>
            </w:pPr>
            <w:r>
              <w:rPr>
                <w:rFonts w:ascii="Arial" w:eastAsia="Aptos" w:hAnsi="Arial" w:cs="Arial"/>
                <w:sz w:val="22"/>
                <w:szCs w:val="22"/>
              </w:rPr>
              <w:t>“</w:t>
            </w:r>
            <w:r>
              <w:rPr>
                <w:rFonts w:ascii="Arial" w:eastAsia="Aptos" w:hAnsi="Arial" w:cs="Arial"/>
                <w:sz w:val="22"/>
                <w:szCs w:val="22"/>
              </w:rPr>
              <w:t>When embracing the concept of reflective teaching, there is often a commitment by teachers to internalise the disposition and skills to study their teaching and become better at teaching over time, a commitment to take responsibility for their own professional development. This assumption of responsibility is a central feature of the idea of a reflective teacher (Zeichner and Liston, 1996: 6)</w:t>
            </w:r>
          </w:p>
          <w:p w14:paraId="52A5EE66" w14:textId="77777777" w:rsidR="001142E9" w:rsidRDefault="001142E9">
            <w:pPr>
              <w:spacing w:after="0" w:line="240" w:lineRule="auto"/>
              <w:contextualSpacing/>
              <w:rPr>
                <w:rFonts w:ascii="Arial" w:hAnsi="Arial" w:cs="Arial"/>
                <w:color w:val="000000"/>
                <w:sz w:val="22"/>
                <w:szCs w:val="22"/>
              </w:rPr>
            </w:pPr>
          </w:p>
        </w:tc>
        <w:tc>
          <w:tcPr>
            <w:tcW w:w="1960" w:type="dxa"/>
          </w:tcPr>
          <w:p w14:paraId="52A5EE67"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 followed by close paraphrase, followed by verbatim text, Arday then uses same extensive quote from Liston and Zeichner used by Z-M to support her argument</w:t>
            </w:r>
          </w:p>
        </w:tc>
        <w:tc>
          <w:tcPr>
            <w:tcW w:w="2987" w:type="dxa"/>
          </w:tcPr>
          <w:p w14:paraId="52A5EE68" w14:textId="77777777" w:rsidR="001142E9" w:rsidRDefault="002B3BB7">
            <w:pPr>
              <w:contextualSpacing/>
              <w:rPr>
                <w:rFonts w:ascii="Arial" w:hAnsi="Arial" w:cs="Arial"/>
                <w:sz w:val="22"/>
                <w:szCs w:val="22"/>
              </w:rPr>
            </w:pPr>
            <w:r>
              <w:rPr>
                <w:rFonts w:ascii="Arial" w:eastAsia="Aptos" w:hAnsi="Arial" w:cs="Arial"/>
                <w:sz w:val="22"/>
                <w:szCs w:val="22"/>
              </w:rPr>
              <w:t>‘enthusiastic and energetic manner’ becomes ‘enthusiastic approach towards their teaching’; ‘frame of mind that is receptive to learning something new from each lesson’ becomes ‘with the view to learning something productive from positive and negative experiences of teaching’</w:t>
            </w:r>
          </w:p>
          <w:p w14:paraId="52A5EE69" w14:textId="77777777" w:rsidR="001142E9" w:rsidRDefault="001142E9">
            <w:pPr>
              <w:spacing w:after="0" w:line="240" w:lineRule="auto"/>
              <w:contextualSpacing/>
              <w:rPr>
                <w:rFonts w:ascii="Arial" w:eastAsia="Aptos" w:hAnsi="Arial" w:cs="Arial"/>
                <w:sz w:val="22"/>
                <w:szCs w:val="22"/>
              </w:rPr>
            </w:pPr>
          </w:p>
        </w:tc>
      </w:tr>
      <w:tr w:rsidR="001142E9" w14:paraId="52A5EE72" w14:textId="77777777">
        <w:tc>
          <w:tcPr>
            <w:tcW w:w="881" w:type="dxa"/>
          </w:tcPr>
          <w:p w14:paraId="52A5EE6B"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76</w:t>
            </w:r>
          </w:p>
        </w:tc>
        <w:tc>
          <w:tcPr>
            <w:tcW w:w="1328" w:type="dxa"/>
          </w:tcPr>
          <w:p w14:paraId="52A5EE6C"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58</w:t>
            </w:r>
          </w:p>
        </w:tc>
        <w:tc>
          <w:tcPr>
            <w:tcW w:w="3392" w:type="dxa"/>
          </w:tcPr>
          <w:p w14:paraId="52A5EE6D" w14:textId="77777777" w:rsidR="001142E9" w:rsidRDefault="002B3BB7">
            <w:pPr>
              <w:contextualSpacing/>
              <w:rPr>
                <w:rFonts w:ascii="Arial" w:hAnsi="Arial" w:cs="Arial"/>
                <w:sz w:val="22"/>
                <w:szCs w:val="22"/>
              </w:rPr>
            </w:pPr>
            <w:r>
              <w:rPr>
                <w:rFonts w:ascii="Arial" w:eastAsia="Aptos" w:hAnsi="Arial" w:cs="Arial"/>
                <w:sz w:val="22"/>
                <w:szCs w:val="22"/>
              </w:rPr>
              <w:t>Another interpretation concerning responsibility for professional development indicates the responsibility of practitioners to be accountable for developing pedagogical practice, Eraut (1994: 232) attributes accountability and responsibility of professional practitioners when they demonstrate:</w:t>
            </w:r>
          </w:p>
          <w:p w14:paraId="52A5EE6E" w14:textId="77777777" w:rsidR="001142E9" w:rsidRDefault="001142E9">
            <w:pPr>
              <w:spacing w:after="0" w:line="240" w:lineRule="auto"/>
              <w:contextualSpacing/>
              <w:rPr>
                <w:rFonts w:ascii="Arial" w:hAnsi="Arial" w:cs="Arial"/>
                <w:color w:val="000000"/>
                <w:sz w:val="22"/>
                <w:szCs w:val="22"/>
              </w:rPr>
            </w:pPr>
          </w:p>
        </w:tc>
        <w:tc>
          <w:tcPr>
            <w:tcW w:w="3399" w:type="dxa"/>
          </w:tcPr>
          <w:p w14:paraId="52A5EE6F"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Another interpretation of taking responsibility for their own professional development can be recognised in the qualities or elements, which Eraut (1994: 232) attributes to the accountability of professional practitioners when they demonstrate:</w:t>
            </w:r>
          </w:p>
        </w:tc>
        <w:tc>
          <w:tcPr>
            <w:tcW w:w="1960" w:type="dxa"/>
          </w:tcPr>
          <w:p w14:paraId="52A5EE70"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text/close paraphrase; uses same reference to Eraut (1994:232)</w:t>
            </w:r>
          </w:p>
        </w:tc>
        <w:tc>
          <w:tcPr>
            <w:tcW w:w="2987" w:type="dxa"/>
          </w:tcPr>
          <w:p w14:paraId="52A5EE71"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Immediately after above use of Liston and Zeichner, both Arday and Z-M theses invoke Eraut. Paraphrases include; ‘can be recognised in the qualities or elements’ becomes ‘indicates the responsibility of practitioners to be accountable for developing pedagogical practice’</w:t>
            </w:r>
          </w:p>
        </w:tc>
      </w:tr>
      <w:tr w:rsidR="001142E9" w14:paraId="52A5EE89" w14:textId="77777777">
        <w:tc>
          <w:tcPr>
            <w:tcW w:w="881" w:type="dxa"/>
          </w:tcPr>
          <w:p w14:paraId="52A5EE73"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76</w:t>
            </w:r>
          </w:p>
        </w:tc>
        <w:tc>
          <w:tcPr>
            <w:tcW w:w="1328" w:type="dxa"/>
          </w:tcPr>
          <w:p w14:paraId="52A5EE74"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58</w:t>
            </w:r>
          </w:p>
        </w:tc>
        <w:tc>
          <w:tcPr>
            <w:tcW w:w="3392" w:type="dxa"/>
          </w:tcPr>
          <w:p w14:paraId="52A5EE75" w14:textId="77777777" w:rsidR="001142E9" w:rsidRDefault="002B3BB7">
            <w:pPr>
              <w:contextualSpacing/>
              <w:rPr>
                <w:rFonts w:ascii="Arial" w:hAnsi="Arial" w:cs="Arial"/>
                <w:sz w:val="22"/>
                <w:szCs w:val="22"/>
              </w:rPr>
            </w:pPr>
            <w:r>
              <w:rPr>
                <w:rFonts w:ascii="Arial" w:eastAsia="Aptos" w:hAnsi="Arial" w:cs="Arial"/>
                <w:sz w:val="22"/>
                <w:szCs w:val="22"/>
              </w:rPr>
              <w:t>a moral commitment to serve the interests of students by reflecting on their wellbeing and their progress and deciding how best it can be fostered or promoted;</w:t>
            </w:r>
          </w:p>
          <w:p w14:paraId="52A5EE76" w14:textId="77777777" w:rsidR="001142E9" w:rsidRDefault="001142E9">
            <w:pPr>
              <w:contextualSpacing/>
              <w:rPr>
                <w:rFonts w:ascii="Arial" w:hAnsi="Arial" w:cs="Arial"/>
                <w:sz w:val="22"/>
                <w:szCs w:val="22"/>
              </w:rPr>
            </w:pPr>
          </w:p>
          <w:p w14:paraId="52A5EE77" w14:textId="77777777" w:rsidR="001142E9" w:rsidRDefault="002B3BB7">
            <w:pPr>
              <w:contextualSpacing/>
              <w:rPr>
                <w:rFonts w:ascii="Arial" w:hAnsi="Arial" w:cs="Arial"/>
                <w:sz w:val="22"/>
                <w:szCs w:val="22"/>
              </w:rPr>
            </w:pPr>
            <w:r>
              <w:rPr>
                <w:rFonts w:ascii="Arial" w:eastAsia="Aptos" w:hAnsi="Arial" w:cs="Arial"/>
                <w:sz w:val="22"/>
                <w:szCs w:val="22"/>
              </w:rPr>
              <w:t>a professional obligation to review periodically the nature and effectiveness of one’s practice in order to improve the quality of one’s management, pedagogy and decision making;</w:t>
            </w:r>
          </w:p>
          <w:p w14:paraId="52A5EE78" w14:textId="77777777" w:rsidR="001142E9" w:rsidRDefault="001142E9">
            <w:pPr>
              <w:contextualSpacing/>
              <w:rPr>
                <w:rFonts w:ascii="Arial" w:hAnsi="Arial" w:cs="Arial"/>
                <w:sz w:val="22"/>
                <w:szCs w:val="22"/>
              </w:rPr>
            </w:pPr>
          </w:p>
          <w:p w14:paraId="52A5EE79" w14:textId="77777777" w:rsidR="001142E9" w:rsidRDefault="001142E9">
            <w:pPr>
              <w:contextualSpacing/>
              <w:rPr>
                <w:rFonts w:ascii="Arial" w:hAnsi="Arial" w:cs="Arial"/>
                <w:sz w:val="22"/>
                <w:szCs w:val="22"/>
              </w:rPr>
            </w:pPr>
          </w:p>
          <w:p w14:paraId="52A5EE7A" w14:textId="77777777" w:rsidR="001142E9" w:rsidRDefault="001142E9">
            <w:pPr>
              <w:contextualSpacing/>
              <w:rPr>
                <w:rFonts w:ascii="Arial" w:hAnsi="Arial" w:cs="Arial"/>
                <w:sz w:val="22"/>
                <w:szCs w:val="22"/>
              </w:rPr>
            </w:pPr>
          </w:p>
          <w:p w14:paraId="52A5EE7B" w14:textId="77777777" w:rsidR="001142E9" w:rsidRDefault="001142E9">
            <w:pPr>
              <w:contextualSpacing/>
              <w:rPr>
                <w:rFonts w:ascii="Arial" w:hAnsi="Arial" w:cs="Arial"/>
                <w:sz w:val="22"/>
                <w:szCs w:val="22"/>
              </w:rPr>
            </w:pPr>
          </w:p>
          <w:p w14:paraId="52A5EE7C" w14:textId="77777777" w:rsidR="001142E9" w:rsidRDefault="001142E9">
            <w:pPr>
              <w:contextualSpacing/>
              <w:rPr>
                <w:rFonts w:ascii="Arial" w:hAnsi="Arial" w:cs="Arial"/>
                <w:sz w:val="22"/>
                <w:szCs w:val="22"/>
              </w:rPr>
            </w:pPr>
          </w:p>
          <w:p w14:paraId="52A5EE7D" w14:textId="77777777" w:rsidR="001142E9" w:rsidRDefault="001142E9">
            <w:pPr>
              <w:contextualSpacing/>
              <w:rPr>
                <w:rFonts w:ascii="Arial" w:hAnsi="Arial" w:cs="Arial"/>
                <w:sz w:val="22"/>
                <w:szCs w:val="22"/>
              </w:rPr>
            </w:pPr>
          </w:p>
          <w:p w14:paraId="52A5EE7E" w14:textId="77777777" w:rsidR="001142E9" w:rsidRDefault="001142E9">
            <w:pPr>
              <w:contextualSpacing/>
              <w:rPr>
                <w:rFonts w:ascii="Arial" w:hAnsi="Arial" w:cs="Arial"/>
                <w:sz w:val="22"/>
                <w:szCs w:val="22"/>
              </w:rPr>
            </w:pPr>
          </w:p>
          <w:p w14:paraId="52A5EE7F" w14:textId="77777777" w:rsidR="001142E9" w:rsidRDefault="002B3BB7">
            <w:pPr>
              <w:contextualSpacing/>
              <w:rPr>
                <w:rFonts w:ascii="Arial" w:hAnsi="Arial" w:cs="Arial"/>
                <w:sz w:val="22"/>
                <w:szCs w:val="22"/>
              </w:rPr>
            </w:pPr>
            <w:r>
              <w:rPr>
                <w:rFonts w:ascii="Arial" w:eastAsia="Aptos" w:hAnsi="Arial" w:cs="Arial"/>
                <w:sz w:val="22"/>
                <w:szCs w:val="22"/>
              </w:rPr>
              <w:t>a professional obligation to continue to develop one’s practical knowledge both by personal reflection and through interaction with others.</w:t>
            </w:r>
          </w:p>
          <w:p w14:paraId="52A5EE80" w14:textId="77777777" w:rsidR="001142E9" w:rsidRDefault="001142E9">
            <w:pPr>
              <w:spacing w:after="0" w:line="240" w:lineRule="auto"/>
              <w:contextualSpacing/>
              <w:rPr>
                <w:rFonts w:ascii="Arial" w:hAnsi="Arial" w:cs="Arial"/>
                <w:color w:val="000000"/>
                <w:sz w:val="22"/>
                <w:szCs w:val="22"/>
              </w:rPr>
            </w:pPr>
          </w:p>
        </w:tc>
        <w:tc>
          <w:tcPr>
            <w:tcW w:w="3399" w:type="dxa"/>
          </w:tcPr>
          <w:p w14:paraId="52A5EE81" w14:textId="77777777" w:rsidR="001142E9" w:rsidRDefault="002B3BB7">
            <w:pPr>
              <w:contextualSpacing/>
              <w:rPr>
                <w:rFonts w:ascii="Arial" w:hAnsi="Arial" w:cs="Arial"/>
                <w:sz w:val="22"/>
                <w:szCs w:val="22"/>
              </w:rPr>
            </w:pPr>
            <w:r>
              <w:rPr>
                <w:rFonts w:ascii="Arial" w:eastAsia="Aptos" w:hAnsi="Arial" w:cs="Arial"/>
                <w:sz w:val="22"/>
                <w:szCs w:val="22"/>
              </w:rPr>
              <w:t>a moral commitment to serve the interests of students by reflecting on their wellbeing and their progress and deciding how best it can be fostered or promoted</w:t>
            </w:r>
          </w:p>
          <w:p w14:paraId="52A5EE82" w14:textId="77777777" w:rsidR="001142E9" w:rsidRDefault="001142E9">
            <w:pPr>
              <w:contextualSpacing/>
              <w:rPr>
                <w:rFonts w:ascii="Arial" w:hAnsi="Arial" w:cs="Arial"/>
                <w:sz w:val="22"/>
                <w:szCs w:val="22"/>
              </w:rPr>
            </w:pPr>
          </w:p>
          <w:p w14:paraId="52A5EE83" w14:textId="77777777" w:rsidR="001142E9" w:rsidRDefault="002B3BB7">
            <w:pPr>
              <w:contextualSpacing/>
              <w:rPr>
                <w:rFonts w:ascii="Arial" w:hAnsi="Arial" w:cs="Arial"/>
                <w:sz w:val="22"/>
                <w:szCs w:val="22"/>
              </w:rPr>
            </w:pPr>
            <w:r>
              <w:rPr>
                <w:rFonts w:ascii="Arial" w:eastAsia="Aptos" w:hAnsi="Arial" w:cs="Arial"/>
                <w:sz w:val="22"/>
                <w:szCs w:val="22"/>
              </w:rPr>
              <w:t>a professional obligation to review periodically the nature and effectiveness of one’s practice in order to improve the quality of one’s management, pedagogy and decision-making a professional obligation to continue to develop one’s practical knowledge both by personal reflection and through interaction with others</w:t>
            </w:r>
          </w:p>
          <w:p w14:paraId="52A5EE84" w14:textId="77777777" w:rsidR="001142E9" w:rsidRDefault="001142E9">
            <w:pPr>
              <w:contextualSpacing/>
              <w:rPr>
                <w:rFonts w:ascii="Arial" w:hAnsi="Arial" w:cs="Arial"/>
                <w:sz w:val="22"/>
                <w:szCs w:val="22"/>
              </w:rPr>
            </w:pPr>
          </w:p>
          <w:p w14:paraId="52A5EE85" w14:textId="77777777" w:rsidR="001142E9" w:rsidRDefault="002B3BB7">
            <w:pPr>
              <w:contextualSpacing/>
              <w:rPr>
                <w:rFonts w:ascii="Arial" w:hAnsi="Arial" w:cs="Arial"/>
                <w:sz w:val="22"/>
                <w:szCs w:val="22"/>
              </w:rPr>
            </w:pPr>
            <w:r>
              <w:rPr>
                <w:rFonts w:ascii="Arial" w:eastAsia="Aptos" w:hAnsi="Arial" w:cs="Arial"/>
                <w:sz w:val="22"/>
                <w:szCs w:val="22"/>
              </w:rPr>
              <w:t>a professional obligation to continue to develop one’s practical knowledge both by personal reflection and through interaction with others</w:t>
            </w:r>
          </w:p>
          <w:p w14:paraId="52A5EE86" w14:textId="77777777" w:rsidR="001142E9" w:rsidRDefault="001142E9">
            <w:pPr>
              <w:spacing w:after="0" w:line="240" w:lineRule="auto"/>
              <w:contextualSpacing/>
              <w:rPr>
                <w:rFonts w:ascii="Arial" w:hAnsi="Arial" w:cs="Arial"/>
                <w:color w:val="000000"/>
                <w:sz w:val="22"/>
                <w:szCs w:val="22"/>
              </w:rPr>
            </w:pPr>
          </w:p>
        </w:tc>
        <w:tc>
          <w:tcPr>
            <w:tcW w:w="1960" w:type="dxa"/>
          </w:tcPr>
          <w:p w14:paraId="52A5EE87"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scaffold, verbatim text</w:t>
            </w:r>
          </w:p>
        </w:tc>
        <w:tc>
          <w:tcPr>
            <w:tcW w:w="2987" w:type="dxa"/>
          </w:tcPr>
          <w:p w14:paraId="52A5EE88"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Note use of ‘moral commitment to serve the interests of students’ in both Arday and Z-M; ‘professional obligation….’ in both texts; ‘professional obligation to continue to develop one’s practical knowledge both by…’</w:t>
            </w:r>
          </w:p>
        </w:tc>
      </w:tr>
      <w:tr w:rsidR="001142E9" w14:paraId="52A5EE94" w14:textId="77777777">
        <w:tc>
          <w:tcPr>
            <w:tcW w:w="881" w:type="dxa"/>
          </w:tcPr>
          <w:p w14:paraId="52A5EE8A"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76</w:t>
            </w:r>
          </w:p>
        </w:tc>
        <w:tc>
          <w:tcPr>
            <w:tcW w:w="1328" w:type="dxa"/>
          </w:tcPr>
          <w:p w14:paraId="52A5EE8B"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59</w:t>
            </w:r>
          </w:p>
        </w:tc>
        <w:tc>
          <w:tcPr>
            <w:tcW w:w="3392" w:type="dxa"/>
          </w:tcPr>
          <w:p w14:paraId="52A5EE8C" w14:textId="77777777" w:rsidR="001142E9" w:rsidRDefault="002B3BB7">
            <w:pPr>
              <w:contextualSpacing/>
              <w:rPr>
                <w:rFonts w:ascii="Arial" w:hAnsi="Arial" w:cs="Arial"/>
                <w:sz w:val="22"/>
                <w:szCs w:val="22"/>
              </w:rPr>
            </w:pPr>
            <w:r>
              <w:rPr>
                <w:rFonts w:ascii="Arial" w:eastAsia="Aptos" w:hAnsi="Arial" w:cs="Arial"/>
                <w:sz w:val="22"/>
                <w:szCs w:val="22"/>
              </w:rPr>
              <w:t xml:space="preserve">Some of these ideas resonate with Stenhouse’s discourse concerning extended  professionals, in  addition to  Hoyle and John (1995) who identified within their conceptions of responsibility, the importance for teachers to ensure the interests of pupils are addressed, in alignment with personal and professional development. </w:t>
            </w:r>
          </w:p>
          <w:p w14:paraId="52A5EE8D" w14:textId="77777777" w:rsidR="001142E9" w:rsidRDefault="002B3BB7">
            <w:pPr>
              <w:contextualSpacing/>
              <w:rPr>
                <w:rFonts w:ascii="Arial" w:hAnsi="Arial" w:cs="Arial"/>
                <w:sz w:val="22"/>
                <w:szCs w:val="22"/>
              </w:rPr>
            </w:pPr>
            <w:r>
              <w:rPr>
                <w:rFonts w:ascii="Arial" w:eastAsia="Aptos" w:hAnsi="Arial" w:cs="Arial"/>
                <w:sz w:val="22"/>
                <w:szCs w:val="22"/>
              </w:rPr>
              <w:t>They suggest that such endeavour concerning learners’ engagement becomes established when teachers’ engage in continuous development of knowledge and skills, the cultivation of judgement, and the adoption of a student-centred practice. Within this study, the student teachers’ accountability for maintaining Standards in schools is explicitly stated in terms of the required expectation to satisfy such protocols, in gaining the award of QTS, by demonstrating the enhancement of pupil learning and professional c</w:t>
            </w:r>
            <w:r>
              <w:rPr>
                <w:rFonts w:ascii="Arial" w:eastAsia="Aptos" w:hAnsi="Arial" w:cs="Arial"/>
                <w:sz w:val="22"/>
                <w:szCs w:val="22"/>
              </w:rPr>
              <w:t xml:space="preserve">apabilities. </w:t>
            </w:r>
          </w:p>
        </w:tc>
        <w:tc>
          <w:tcPr>
            <w:tcW w:w="3399" w:type="dxa"/>
          </w:tcPr>
          <w:p w14:paraId="52A5EE8E" w14:textId="77777777" w:rsidR="001142E9" w:rsidRDefault="002B3BB7">
            <w:pPr>
              <w:contextualSpacing/>
              <w:rPr>
                <w:rFonts w:ascii="Arial" w:hAnsi="Arial" w:cs="Arial"/>
                <w:sz w:val="22"/>
                <w:szCs w:val="22"/>
              </w:rPr>
            </w:pPr>
            <w:r>
              <w:rPr>
                <w:rFonts w:ascii="Arial" w:eastAsia="Aptos" w:hAnsi="Arial" w:cs="Arial"/>
                <w:sz w:val="22"/>
                <w:szCs w:val="22"/>
              </w:rPr>
              <w:t>These qualities have resonance with some key attributes Stenhouse associates with extended professionals, in addition to those Hoyle and John (1995) identify in their interpretation of responsibility, which they broaden to include the view that a teacher, or group of teachers, also ensure the interests of pupils are addressed. They suggest this requires a degree of trust from pupils, which can be established when teachers” engage in the “continuous development of knowledge and skill, the cultivation of judg</w:t>
            </w:r>
            <w:r>
              <w:rPr>
                <w:rFonts w:ascii="Arial" w:eastAsia="Aptos" w:hAnsi="Arial" w:cs="Arial"/>
                <w:sz w:val="22"/>
                <w:szCs w:val="22"/>
              </w:rPr>
              <w:t xml:space="preserve">ement, and acceptance of a child-centred ethic‟ (ibid: 128). In this study, the student teachers‟ accountability for Standards in schools is explicitly stated in terms of the expectation that those awarded QTS are capable of demonstrating the enhancement of pupil learning and development. </w:t>
            </w:r>
          </w:p>
          <w:p w14:paraId="52A5EE8F" w14:textId="77777777" w:rsidR="001142E9" w:rsidRDefault="001142E9">
            <w:pPr>
              <w:contextualSpacing/>
              <w:rPr>
                <w:rFonts w:ascii="Arial" w:hAnsi="Arial" w:cs="Arial"/>
                <w:sz w:val="22"/>
                <w:szCs w:val="22"/>
              </w:rPr>
            </w:pPr>
          </w:p>
          <w:p w14:paraId="52A5EE90" w14:textId="77777777" w:rsidR="001142E9" w:rsidRDefault="001142E9">
            <w:pPr>
              <w:contextualSpacing/>
              <w:rPr>
                <w:rFonts w:ascii="Arial" w:hAnsi="Arial" w:cs="Arial"/>
                <w:sz w:val="22"/>
                <w:szCs w:val="22"/>
              </w:rPr>
            </w:pPr>
          </w:p>
          <w:p w14:paraId="52A5EE91" w14:textId="77777777" w:rsidR="001142E9" w:rsidRDefault="001142E9">
            <w:pPr>
              <w:spacing w:after="0" w:line="240" w:lineRule="auto"/>
              <w:contextualSpacing/>
              <w:rPr>
                <w:rFonts w:ascii="Arial" w:hAnsi="Arial" w:cs="Arial"/>
                <w:color w:val="000000"/>
                <w:sz w:val="22"/>
                <w:szCs w:val="22"/>
              </w:rPr>
            </w:pPr>
          </w:p>
        </w:tc>
        <w:tc>
          <w:tcPr>
            <w:tcW w:w="1960" w:type="dxa"/>
          </w:tcPr>
          <w:p w14:paraId="52A5EE92"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 xml:space="preserve">Close paraphrase in discussion of Stenhouse; identical references (Hoyle and John 1995); verbatim text/close paraphrase in discussion of QTS; </w:t>
            </w:r>
          </w:p>
        </w:tc>
        <w:tc>
          <w:tcPr>
            <w:tcW w:w="2987" w:type="dxa"/>
          </w:tcPr>
          <w:p w14:paraId="52A5EE93"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Paraphrases include: ‘have resonance with’ becomes ‘ideas resonate with’; ‘identify in their interpretation of responsibility’ becomes ‘identified within their conceptions of responsibility’; ‘child-centred ethic’ becomes ‘student-centred practice’; ‘expectation that those awarded QTS’ becomes ‘required expectation to satisfy such protocols, in gaining the award of QTS’</w:t>
            </w:r>
          </w:p>
        </w:tc>
      </w:tr>
      <w:tr w:rsidR="001142E9" w14:paraId="52A5EE9C" w14:textId="77777777">
        <w:tc>
          <w:tcPr>
            <w:tcW w:w="881" w:type="dxa"/>
          </w:tcPr>
          <w:p w14:paraId="52A5EE95"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76</w:t>
            </w:r>
          </w:p>
        </w:tc>
        <w:tc>
          <w:tcPr>
            <w:tcW w:w="1328" w:type="dxa"/>
          </w:tcPr>
          <w:p w14:paraId="52A5EE96"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59</w:t>
            </w:r>
          </w:p>
        </w:tc>
        <w:tc>
          <w:tcPr>
            <w:tcW w:w="3392" w:type="dxa"/>
          </w:tcPr>
          <w:p w14:paraId="52A5EE97" w14:textId="77777777" w:rsidR="001142E9" w:rsidRDefault="002B3BB7">
            <w:pPr>
              <w:contextualSpacing/>
              <w:rPr>
                <w:rFonts w:ascii="Arial" w:hAnsi="Arial" w:cs="Arial"/>
                <w:sz w:val="22"/>
                <w:szCs w:val="22"/>
              </w:rPr>
            </w:pPr>
            <w:r>
              <w:rPr>
                <w:rFonts w:ascii="Arial" w:eastAsia="Aptos" w:hAnsi="Arial" w:cs="Arial"/>
                <w:sz w:val="22"/>
                <w:szCs w:val="22"/>
              </w:rPr>
              <w:t>Further components within the Standards encompass both theoretical and experiential knowledge, in addition with professional values and commitments which draw parallels with accountability in developing professionally as identified by Eraut.</w:t>
            </w:r>
          </w:p>
          <w:p w14:paraId="52A5EE98" w14:textId="77777777" w:rsidR="001142E9" w:rsidRDefault="001142E9">
            <w:pPr>
              <w:spacing w:after="0" w:line="240" w:lineRule="auto"/>
              <w:contextualSpacing/>
              <w:rPr>
                <w:rFonts w:ascii="Arial" w:hAnsi="Arial" w:cs="Arial"/>
                <w:color w:val="000000"/>
                <w:sz w:val="22"/>
                <w:szCs w:val="22"/>
              </w:rPr>
            </w:pPr>
          </w:p>
        </w:tc>
        <w:tc>
          <w:tcPr>
            <w:tcW w:w="3399" w:type="dxa"/>
          </w:tcPr>
          <w:p w14:paraId="52A5EE99"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Further components within the Standards encompass both theoretical and experiential knowledge along with professional values and commitments which closely parallel elements of accountability in professional development identified by Eraut.</w:t>
            </w:r>
          </w:p>
        </w:tc>
        <w:tc>
          <w:tcPr>
            <w:tcW w:w="1960" w:type="dxa"/>
          </w:tcPr>
          <w:p w14:paraId="52A5EE9A"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 minor paraphrase identical reference to Eraut</w:t>
            </w:r>
          </w:p>
        </w:tc>
        <w:tc>
          <w:tcPr>
            <w:tcW w:w="2987" w:type="dxa"/>
          </w:tcPr>
          <w:p w14:paraId="52A5EE9B"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Paraphrases include: ‘along with’ becomes ‘in addition with’; ‘accountability in professional development’ becomes ‘accountability in developing professionally’</w:t>
            </w:r>
          </w:p>
        </w:tc>
      </w:tr>
      <w:tr w:rsidR="001142E9" w14:paraId="52A5EEA5" w14:textId="77777777">
        <w:tc>
          <w:tcPr>
            <w:tcW w:w="881" w:type="dxa"/>
          </w:tcPr>
          <w:p w14:paraId="52A5EE9D"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77</w:t>
            </w:r>
          </w:p>
        </w:tc>
        <w:tc>
          <w:tcPr>
            <w:tcW w:w="1328" w:type="dxa"/>
          </w:tcPr>
          <w:p w14:paraId="52A5EE9E"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59</w:t>
            </w:r>
          </w:p>
        </w:tc>
        <w:tc>
          <w:tcPr>
            <w:tcW w:w="3392" w:type="dxa"/>
          </w:tcPr>
          <w:p w14:paraId="52A5EE9F" w14:textId="77777777" w:rsidR="001142E9" w:rsidRDefault="002B3BB7">
            <w:pPr>
              <w:contextualSpacing/>
              <w:rPr>
                <w:rFonts w:ascii="Arial" w:hAnsi="Arial" w:cs="Arial"/>
                <w:sz w:val="22"/>
                <w:szCs w:val="22"/>
              </w:rPr>
            </w:pPr>
            <w:r>
              <w:rPr>
                <w:rFonts w:ascii="Arial" w:eastAsia="Aptos" w:hAnsi="Arial" w:cs="Arial"/>
                <w:sz w:val="22"/>
                <w:szCs w:val="22"/>
              </w:rPr>
              <w:t xml:space="preserve">Thus, a consideration for student teachers whilst embarking on their professional induction into the teaching profession is the need to articulate educational values, not in isolation and abstraction, but in collaboration with other colleagues within the landscape of the school environment (Nixon, 1995: 220). </w:t>
            </w:r>
          </w:p>
          <w:p w14:paraId="52A5EEA0" w14:textId="77777777" w:rsidR="001142E9" w:rsidRDefault="001142E9">
            <w:pPr>
              <w:spacing w:after="0" w:line="240" w:lineRule="auto"/>
              <w:contextualSpacing/>
              <w:rPr>
                <w:rFonts w:ascii="Arial" w:hAnsi="Arial" w:cs="Arial"/>
                <w:color w:val="000000"/>
                <w:sz w:val="22"/>
                <w:szCs w:val="22"/>
              </w:rPr>
            </w:pPr>
          </w:p>
        </w:tc>
        <w:tc>
          <w:tcPr>
            <w:tcW w:w="3399" w:type="dxa"/>
          </w:tcPr>
          <w:p w14:paraId="52A5EEA1" w14:textId="77777777" w:rsidR="001142E9" w:rsidRDefault="002B3BB7">
            <w:pPr>
              <w:contextualSpacing/>
              <w:rPr>
                <w:rFonts w:ascii="Arial" w:hAnsi="Arial" w:cs="Arial"/>
                <w:sz w:val="22"/>
                <w:szCs w:val="22"/>
              </w:rPr>
            </w:pPr>
            <w:r>
              <w:rPr>
                <w:rFonts w:ascii="Arial" w:eastAsia="Aptos" w:hAnsi="Arial" w:cs="Arial"/>
                <w:sz w:val="22"/>
                <w:szCs w:val="22"/>
              </w:rPr>
              <w:t>Thus, one principle task for student teachers as professionals is to ‘work out their educational values, not in isolation and abstraction but in collaboration with colleagues and amid the complexities of school life’ (Nixon, 1995:220)</w:t>
            </w:r>
          </w:p>
          <w:p w14:paraId="52A5EEA2" w14:textId="77777777" w:rsidR="001142E9" w:rsidRDefault="001142E9">
            <w:pPr>
              <w:spacing w:after="0" w:line="240" w:lineRule="auto"/>
              <w:contextualSpacing/>
              <w:rPr>
                <w:rFonts w:ascii="Arial" w:hAnsi="Arial" w:cs="Arial"/>
                <w:color w:val="000000"/>
                <w:sz w:val="22"/>
                <w:szCs w:val="22"/>
              </w:rPr>
            </w:pPr>
          </w:p>
        </w:tc>
        <w:tc>
          <w:tcPr>
            <w:tcW w:w="1960" w:type="dxa"/>
          </w:tcPr>
          <w:p w14:paraId="52A5EEA3" w14:textId="77777777" w:rsidR="001142E9" w:rsidRDefault="002B3BB7">
            <w:pPr>
              <w:spacing w:after="0" w:line="240" w:lineRule="auto"/>
              <w:contextualSpacing/>
              <w:rPr>
                <w:rFonts w:ascii="Arial" w:eastAsia="Aptos" w:hAnsi="Arial" w:cs="Arial"/>
                <w:sz w:val="22"/>
                <w:szCs w:val="22"/>
              </w:rPr>
            </w:pPr>
            <w:r>
              <w:rPr>
                <w:rFonts w:ascii="Arial" w:eastAsia="Aptos" w:hAnsi="Arial" w:cs="Arial"/>
                <w:sz w:val="22"/>
                <w:szCs w:val="22"/>
              </w:rPr>
              <w:t>Near-verbatim text; sentence concludes with reference to Nixon, 1995: 220, as in Z-M’s 2009 thesis</w:t>
            </w:r>
          </w:p>
        </w:tc>
        <w:tc>
          <w:tcPr>
            <w:tcW w:w="2987" w:type="dxa"/>
          </w:tcPr>
          <w:p w14:paraId="52A5EEA4" w14:textId="77777777" w:rsidR="001142E9" w:rsidRDefault="002B3BB7">
            <w:pPr>
              <w:spacing w:after="0" w:line="240" w:lineRule="auto"/>
              <w:contextualSpacing/>
              <w:rPr>
                <w:rFonts w:ascii="Arial" w:eastAsia="Aptos" w:hAnsi="Arial" w:cs="Arial"/>
                <w:sz w:val="22"/>
                <w:szCs w:val="22"/>
              </w:rPr>
            </w:pPr>
            <w:r>
              <w:rPr>
                <w:rFonts w:ascii="Arial" w:eastAsia="Aptos" w:hAnsi="Arial" w:cs="Arial"/>
                <w:sz w:val="22"/>
                <w:szCs w:val="22"/>
              </w:rPr>
              <w:t>Paraphrases include: ‘one principle task’ becomes ‘a consideration’; ‘</w:t>
            </w:r>
            <w:r>
              <w:rPr>
                <w:rFonts w:ascii="Arial" w:hAnsi="Arial" w:cs="Arial"/>
                <w:sz w:val="22"/>
                <w:szCs w:val="22"/>
              </w:rPr>
              <w:t>amid the complexities of school life’ becomes ‘within the landscape of the school environment’</w:t>
            </w:r>
          </w:p>
        </w:tc>
      </w:tr>
      <w:tr w:rsidR="001142E9" w14:paraId="52A5EEAE" w14:textId="77777777">
        <w:tc>
          <w:tcPr>
            <w:tcW w:w="881" w:type="dxa"/>
          </w:tcPr>
          <w:p w14:paraId="52A5EEA6"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77</w:t>
            </w:r>
          </w:p>
        </w:tc>
        <w:tc>
          <w:tcPr>
            <w:tcW w:w="1328" w:type="dxa"/>
          </w:tcPr>
          <w:p w14:paraId="52A5EEA7"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59-60</w:t>
            </w:r>
          </w:p>
        </w:tc>
        <w:tc>
          <w:tcPr>
            <w:tcW w:w="3392" w:type="dxa"/>
          </w:tcPr>
          <w:p w14:paraId="52A5EEA8" w14:textId="77777777" w:rsidR="001142E9" w:rsidRDefault="002B3BB7">
            <w:pPr>
              <w:contextualSpacing/>
              <w:rPr>
                <w:rFonts w:ascii="Arial" w:hAnsi="Arial" w:cs="Arial"/>
                <w:sz w:val="22"/>
                <w:szCs w:val="22"/>
              </w:rPr>
            </w:pPr>
            <w:r>
              <w:rPr>
                <w:rFonts w:ascii="Arial" w:eastAsia="Aptos" w:hAnsi="Arial" w:cs="Arial"/>
                <w:sz w:val="22"/>
                <w:szCs w:val="22"/>
              </w:rPr>
              <w:t xml:space="preserve">Such consideration requires student teachers to critically reflect and engage with what occurs within the classroom and on the periphery of this. Contrastingly, teachers from varying backgrounds, career aspirations, expectations and priorities, will maintain perspectives with regards to the purposes of education, which may lead to differences in values. </w:t>
            </w:r>
          </w:p>
          <w:p w14:paraId="52A5EEA9" w14:textId="77777777" w:rsidR="001142E9" w:rsidRDefault="001142E9">
            <w:pPr>
              <w:spacing w:after="0" w:line="240" w:lineRule="auto"/>
              <w:contextualSpacing/>
              <w:rPr>
                <w:rFonts w:ascii="Arial" w:hAnsi="Arial" w:cs="Arial"/>
                <w:color w:val="000000"/>
                <w:sz w:val="22"/>
                <w:szCs w:val="22"/>
              </w:rPr>
            </w:pPr>
          </w:p>
        </w:tc>
        <w:tc>
          <w:tcPr>
            <w:tcW w:w="3399" w:type="dxa"/>
          </w:tcPr>
          <w:p w14:paraId="52A5EEAA" w14:textId="77777777" w:rsidR="001142E9" w:rsidRDefault="002B3BB7">
            <w:pPr>
              <w:contextualSpacing/>
              <w:rPr>
                <w:rFonts w:ascii="Arial" w:hAnsi="Arial" w:cs="Arial"/>
                <w:sz w:val="22"/>
                <w:szCs w:val="22"/>
              </w:rPr>
            </w:pPr>
            <w:r>
              <w:rPr>
                <w:rFonts w:ascii="Arial" w:eastAsia="Aptos" w:hAnsi="Arial" w:cs="Arial"/>
                <w:sz w:val="22"/>
                <w:szCs w:val="22"/>
              </w:rPr>
              <w:t xml:space="preserve">                       </w:t>
            </w:r>
            <w:r>
              <w:rPr>
                <w:rFonts w:ascii="Arial" w:eastAsia="Aptos" w:hAnsi="Arial" w:cs="Arial"/>
                <w:sz w:val="22"/>
                <w:szCs w:val="22"/>
              </w:rPr>
              <w:t xml:space="preserve">This requires student teachers to critically reflect on what they do in relation to what is happening around them in their classroom and school. This said however, a number of teachers in the same school may have very different backgrounds, career aspirations, expectations and priorities along with divergent perspectives as to the purposes of education, which might lead to differences in values. </w:t>
            </w:r>
          </w:p>
        </w:tc>
        <w:tc>
          <w:tcPr>
            <w:tcW w:w="1960" w:type="dxa"/>
          </w:tcPr>
          <w:p w14:paraId="52A5EEAB"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 with some paraphrase</w:t>
            </w:r>
          </w:p>
        </w:tc>
        <w:tc>
          <w:tcPr>
            <w:tcW w:w="2987" w:type="dxa"/>
          </w:tcPr>
          <w:p w14:paraId="52A5EEAC" w14:textId="77777777" w:rsidR="001142E9" w:rsidRDefault="002B3BB7">
            <w:pPr>
              <w:contextualSpacing/>
              <w:rPr>
                <w:rFonts w:ascii="Arial" w:hAnsi="Arial" w:cs="Arial"/>
                <w:sz w:val="22"/>
                <w:szCs w:val="22"/>
              </w:rPr>
            </w:pPr>
            <w:r>
              <w:rPr>
                <w:rFonts w:ascii="Arial" w:eastAsia="Aptos" w:hAnsi="Arial" w:cs="Arial"/>
                <w:sz w:val="22"/>
                <w:szCs w:val="22"/>
              </w:rPr>
              <w:t>Paraphrases include: ‘what is happening around them in their classroom and school’ becomes ‘what occurs within the classroom and on the periphery of this’; ‘This said however’ becomes ‘Contrastingly’; ‘different backgrounds’ becomes ‘varying backgrounds’</w:t>
            </w:r>
          </w:p>
          <w:p w14:paraId="52A5EEAD" w14:textId="77777777" w:rsidR="001142E9" w:rsidRDefault="001142E9">
            <w:pPr>
              <w:spacing w:after="0" w:line="240" w:lineRule="auto"/>
              <w:contextualSpacing/>
              <w:rPr>
                <w:rFonts w:ascii="Arial" w:eastAsia="Aptos" w:hAnsi="Arial" w:cs="Arial"/>
                <w:sz w:val="22"/>
                <w:szCs w:val="22"/>
              </w:rPr>
            </w:pPr>
          </w:p>
        </w:tc>
      </w:tr>
      <w:tr w:rsidR="001142E9" w14:paraId="52A5EEB6" w14:textId="77777777">
        <w:tc>
          <w:tcPr>
            <w:tcW w:w="881" w:type="dxa"/>
          </w:tcPr>
          <w:p w14:paraId="52A5EEAF"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77</w:t>
            </w:r>
          </w:p>
        </w:tc>
        <w:tc>
          <w:tcPr>
            <w:tcW w:w="1328" w:type="dxa"/>
          </w:tcPr>
          <w:p w14:paraId="52A5EEB0"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60</w:t>
            </w:r>
          </w:p>
        </w:tc>
        <w:tc>
          <w:tcPr>
            <w:tcW w:w="3392" w:type="dxa"/>
          </w:tcPr>
          <w:p w14:paraId="52A5EEB1"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 xml:space="preserve">Bolton (2006: 205) notes the difficulty often faced by teachers lies not in aligning themselves with the values associated with the school, but in recognising what and how endorsement translates in practice, particularly if some values do not resonate with other practitioners. </w:t>
            </w:r>
          </w:p>
        </w:tc>
        <w:tc>
          <w:tcPr>
            <w:tcW w:w="3399" w:type="dxa"/>
          </w:tcPr>
          <w:p w14:paraId="52A5EEB2" w14:textId="77777777" w:rsidR="001142E9" w:rsidRDefault="002B3BB7">
            <w:pPr>
              <w:contextualSpacing/>
              <w:rPr>
                <w:rFonts w:ascii="Arial" w:hAnsi="Arial" w:cs="Arial"/>
                <w:sz w:val="22"/>
                <w:szCs w:val="22"/>
              </w:rPr>
            </w:pPr>
            <w:r>
              <w:rPr>
                <w:rFonts w:ascii="Arial" w:eastAsia="Aptos" w:hAnsi="Arial" w:cs="Arial"/>
                <w:sz w:val="22"/>
                <w:szCs w:val="22"/>
              </w:rPr>
              <w:t xml:space="preserve">Haydon (1997: 11) notes “the difficulty often faced by teachers lies not in outlining the values which a school stands for, but in recognising what this endorsement will mean in practice, particularly if some of the values do not sit comfortably together”. </w:t>
            </w:r>
          </w:p>
          <w:p w14:paraId="52A5EEB3" w14:textId="77777777" w:rsidR="001142E9" w:rsidRDefault="001142E9">
            <w:pPr>
              <w:spacing w:after="0" w:line="240" w:lineRule="auto"/>
              <w:contextualSpacing/>
              <w:rPr>
                <w:rFonts w:ascii="Arial" w:hAnsi="Arial" w:cs="Arial"/>
                <w:color w:val="000000"/>
                <w:sz w:val="22"/>
                <w:szCs w:val="22"/>
              </w:rPr>
            </w:pPr>
          </w:p>
        </w:tc>
        <w:tc>
          <w:tcPr>
            <w:tcW w:w="1960" w:type="dxa"/>
          </w:tcPr>
          <w:p w14:paraId="52A5EEB4"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 some close paraphrase</w:t>
            </w:r>
          </w:p>
        </w:tc>
        <w:tc>
          <w:tcPr>
            <w:tcW w:w="2987" w:type="dxa"/>
          </w:tcPr>
          <w:p w14:paraId="52A5EEB5"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Note Z-M starts with Haydon, Arday with Bolton; paraphrases include: ‘not in outlining the values which a school stands for’ becomes ‘not in aligning themselves with the values associated with the school’; ‘some of the values do not sit comfortably together” becomes ‘some values do not resonate with other practitioners’</w:t>
            </w:r>
          </w:p>
        </w:tc>
      </w:tr>
      <w:tr w:rsidR="001142E9" w14:paraId="52A5EEBE" w14:textId="77777777">
        <w:tc>
          <w:tcPr>
            <w:tcW w:w="881" w:type="dxa"/>
          </w:tcPr>
          <w:p w14:paraId="52A5EEB7"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77</w:t>
            </w:r>
          </w:p>
        </w:tc>
        <w:tc>
          <w:tcPr>
            <w:tcW w:w="1328" w:type="dxa"/>
          </w:tcPr>
          <w:p w14:paraId="52A5EEB8"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60</w:t>
            </w:r>
          </w:p>
        </w:tc>
        <w:tc>
          <w:tcPr>
            <w:tcW w:w="3392" w:type="dxa"/>
          </w:tcPr>
          <w:p w14:paraId="52A5EEB9" w14:textId="77777777" w:rsidR="001142E9" w:rsidRDefault="002B3BB7">
            <w:pPr>
              <w:contextualSpacing/>
              <w:rPr>
                <w:rFonts w:ascii="Arial" w:hAnsi="Arial" w:cs="Arial"/>
                <w:sz w:val="22"/>
                <w:szCs w:val="22"/>
              </w:rPr>
            </w:pPr>
            <w:r>
              <w:rPr>
                <w:rFonts w:ascii="Arial" w:eastAsia="Aptos" w:hAnsi="Arial" w:cs="Arial"/>
                <w:sz w:val="22"/>
                <w:szCs w:val="22"/>
              </w:rPr>
              <w:t>Conversely, this discourse suggests that some student teachers’ school-based teaching experiences could be incongruent, as values expressed in principle might not necessarily be demonstrated in practice (Zwokziak-Myers, 2009).</w:t>
            </w:r>
          </w:p>
          <w:p w14:paraId="52A5EEBA" w14:textId="77777777" w:rsidR="001142E9" w:rsidRDefault="001142E9">
            <w:pPr>
              <w:spacing w:after="0" w:line="240" w:lineRule="auto"/>
              <w:contextualSpacing/>
              <w:rPr>
                <w:rFonts w:ascii="Arial" w:hAnsi="Arial" w:cs="Arial"/>
                <w:color w:val="000000"/>
                <w:sz w:val="22"/>
                <w:szCs w:val="22"/>
              </w:rPr>
            </w:pPr>
          </w:p>
        </w:tc>
        <w:tc>
          <w:tcPr>
            <w:tcW w:w="3399" w:type="dxa"/>
          </w:tcPr>
          <w:p w14:paraId="52A5EEBB"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This counter discourse suggests that some student teachers‟ school-based teaching experiences could be incongruent, as values expressed in principle might not necessarily be demonstrated in practice.</w:t>
            </w:r>
          </w:p>
        </w:tc>
        <w:tc>
          <w:tcPr>
            <w:tcW w:w="1960" w:type="dxa"/>
          </w:tcPr>
          <w:p w14:paraId="52A5EEBC"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Minor paraphrase to reference Z-M thesis; lack of quotations for verbatim quoting</w:t>
            </w:r>
          </w:p>
        </w:tc>
        <w:tc>
          <w:tcPr>
            <w:tcW w:w="2987" w:type="dxa"/>
          </w:tcPr>
          <w:p w14:paraId="52A5EEBD"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Note similar words: ‘incongruent’; ‘counter discourse’ is paraphrased as ‘conversely’</w:t>
            </w:r>
          </w:p>
        </w:tc>
      </w:tr>
      <w:tr w:rsidR="001142E9" w14:paraId="52A5EEC6" w14:textId="77777777">
        <w:tc>
          <w:tcPr>
            <w:tcW w:w="881" w:type="dxa"/>
          </w:tcPr>
          <w:p w14:paraId="52A5EEBF"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77</w:t>
            </w:r>
          </w:p>
        </w:tc>
        <w:tc>
          <w:tcPr>
            <w:tcW w:w="1328" w:type="dxa"/>
          </w:tcPr>
          <w:p w14:paraId="52A5EEC0"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60</w:t>
            </w:r>
          </w:p>
        </w:tc>
        <w:tc>
          <w:tcPr>
            <w:tcW w:w="3392" w:type="dxa"/>
          </w:tcPr>
          <w:p w14:paraId="52A5EEC1" w14:textId="77777777" w:rsidR="001142E9" w:rsidRDefault="002B3BB7">
            <w:pPr>
              <w:contextualSpacing/>
              <w:rPr>
                <w:rFonts w:ascii="Arial" w:hAnsi="Arial" w:cs="Arial"/>
                <w:sz w:val="22"/>
                <w:szCs w:val="22"/>
              </w:rPr>
            </w:pPr>
            <w:r>
              <w:rPr>
                <w:rFonts w:ascii="Arial" w:eastAsia="Aptos" w:hAnsi="Arial" w:cs="Arial"/>
                <w:sz w:val="22"/>
                <w:szCs w:val="22"/>
              </w:rPr>
              <w:t xml:space="preserve">Importantly, educational values are underpinned by socially constructed and critical reflections which are deliberated and validated in student teachers’ actions, values and beliefs with colleagues and learners (Kensington-Miller, 2011). </w:t>
            </w:r>
          </w:p>
          <w:p w14:paraId="52A5EEC2" w14:textId="77777777" w:rsidR="001142E9" w:rsidRDefault="001142E9">
            <w:pPr>
              <w:spacing w:after="0" w:line="240" w:lineRule="auto"/>
              <w:contextualSpacing/>
              <w:rPr>
                <w:rFonts w:ascii="Arial" w:hAnsi="Arial" w:cs="Arial"/>
                <w:color w:val="000000"/>
                <w:sz w:val="22"/>
                <w:szCs w:val="22"/>
              </w:rPr>
            </w:pPr>
          </w:p>
        </w:tc>
        <w:tc>
          <w:tcPr>
            <w:tcW w:w="3399" w:type="dxa"/>
          </w:tcPr>
          <w:p w14:paraId="52A5EEC3"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 xml:space="preserve">Educational values are socially constructed, critically and consciously reflected upon, discussed and demonstrated in student teachers‟ actions, feelings and thoughts with pupils and colleagues. </w:t>
            </w:r>
          </w:p>
        </w:tc>
        <w:tc>
          <w:tcPr>
            <w:tcW w:w="1960" w:type="dxa"/>
          </w:tcPr>
          <w:p w14:paraId="52A5EEC4"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Close paraphrase of Z-M in section directly concerning her argument</w:t>
            </w:r>
          </w:p>
        </w:tc>
        <w:tc>
          <w:tcPr>
            <w:tcW w:w="2987" w:type="dxa"/>
          </w:tcPr>
          <w:p w14:paraId="52A5EEC5"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 xml:space="preserve"> ‘Socially constructed, critically and consciously reflected upon’ becomes ‘underpinned by socially constructed and critical reflections’; ‘discussed’ becomes ‘deliberated’; ‘demonstrated’ becomes ‘validated’</w:t>
            </w:r>
          </w:p>
        </w:tc>
      </w:tr>
      <w:tr w:rsidR="001142E9" w14:paraId="52A5EED1" w14:textId="77777777">
        <w:tc>
          <w:tcPr>
            <w:tcW w:w="881" w:type="dxa"/>
          </w:tcPr>
          <w:p w14:paraId="52A5EEC7"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77</w:t>
            </w:r>
          </w:p>
        </w:tc>
        <w:tc>
          <w:tcPr>
            <w:tcW w:w="1328" w:type="dxa"/>
          </w:tcPr>
          <w:p w14:paraId="52A5EEC8"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60</w:t>
            </w:r>
          </w:p>
        </w:tc>
        <w:tc>
          <w:tcPr>
            <w:tcW w:w="3392" w:type="dxa"/>
          </w:tcPr>
          <w:p w14:paraId="52A5EEC9" w14:textId="77777777" w:rsidR="001142E9" w:rsidRDefault="002B3BB7">
            <w:pPr>
              <w:contextualSpacing/>
              <w:rPr>
                <w:rFonts w:ascii="Arial" w:hAnsi="Arial" w:cs="Arial"/>
                <w:sz w:val="22"/>
                <w:szCs w:val="22"/>
              </w:rPr>
            </w:pPr>
            <w:r>
              <w:rPr>
                <w:rFonts w:ascii="Arial" w:eastAsia="Aptos" w:hAnsi="Arial" w:cs="Arial"/>
                <w:sz w:val="22"/>
                <w:szCs w:val="22"/>
              </w:rPr>
              <w:t>Zwokziak-Myers (2009) states that as student teachers’ build on experiences and develop confidence to exercise discernment, professional judgements and decisions concerning pedagogical contexts, this can impact personal educational goals and values, which may indicate the type of teacher they intend to become throughout their professional career.</w:t>
            </w:r>
          </w:p>
          <w:p w14:paraId="52A5EECA" w14:textId="77777777" w:rsidR="001142E9" w:rsidRDefault="001142E9">
            <w:pPr>
              <w:spacing w:after="0" w:line="240" w:lineRule="auto"/>
              <w:contextualSpacing/>
              <w:rPr>
                <w:rFonts w:ascii="Arial" w:hAnsi="Arial" w:cs="Arial"/>
                <w:color w:val="000000"/>
                <w:sz w:val="22"/>
                <w:szCs w:val="22"/>
              </w:rPr>
            </w:pPr>
          </w:p>
        </w:tc>
        <w:tc>
          <w:tcPr>
            <w:tcW w:w="3399" w:type="dxa"/>
          </w:tcPr>
          <w:p w14:paraId="52A5EECB" w14:textId="77777777" w:rsidR="001142E9" w:rsidRDefault="001142E9">
            <w:pPr>
              <w:contextualSpacing/>
              <w:rPr>
                <w:rFonts w:ascii="Arial" w:hAnsi="Arial" w:cs="Arial"/>
                <w:sz w:val="22"/>
                <w:szCs w:val="22"/>
              </w:rPr>
            </w:pPr>
          </w:p>
          <w:p w14:paraId="52A5EECC"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 xml:space="preserve">   </w:t>
            </w:r>
            <w:r>
              <w:rPr>
                <w:rFonts w:ascii="Arial" w:eastAsia="Aptos" w:hAnsi="Arial" w:cs="Arial"/>
                <w:sz w:val="22"/>
                <w:szCs w:val="22"/>
              </w:rPr>
              <w:t>As student teachers‟ gain experience and confidence to exercise discernment, the professional judgements and decisions they make will be based on personal educational goals and values, which in turn, can reflect the kind of teacher they aspire to be.</w:t>
            </w:r>
          </w:p>
        </w:tc>
        <w:tc>
          <w:tcPr>
            <w:tcW w:w="1960" w:type="dxa"/>
          </w:tcPr>
          <w:p w14:paraId="52A5EECD" w14:textId="77777777" w:rsidR="001142E9" w:rsidRDefault="002B3BB7">
            <w:pPr>
              <w:contextualSpacing/>
              <w:rPr>
                <w:rFonts w:ascii="Arial" w:hAnsi="Arial" w:cs="Arial"/>
                <w:sz w:val="22"/>
                <w:szCs w:val="22"/>
              </w:rPr>
            </w:pPr>
            <w:r>
              <w:rPr>
                <w:rFonts w:ascii="Arial" w:eastAsia="Aptos" w:hAnsi="Arial" w:cs="Arial"/>
                <w:sz w:val="22"/>
                <w:szCs w:val="22"/>
              </w:rPr>
              <w:t>References Z-M but is a close paraphrase of her work;</w:t>
            </w:r>
          </w:p>
          <w:p w14:paraId="52A5EECE" w14:textId="77777777" w:rsidR="001142E9" w:rsidRDefault="001142E9">
            <w:pPr>
              <w:contextualSpacing/>
              <w:rPr>
                <w:rFonts w:ascii="Arial" w:hAnsi="Arial" w:cs="Arial"/>
                <w:sz w:val="22"/>
                <w:szCs w:val="22"/>
              </w:rPr>
            </w:pPr>
          </w:p>
          <w:p w14:paraId="52A5EECF" w14:textId="77777777" w:rsidR="001142E9" w:rsidRDefault="001142E9">
            <w:pPr>
              <w:spacing w:after="0" w:line="240" w:lineRule="auto"/>
              <w:contextualSpacing/>
              <w:rPr>
                <w:rFonts w:ascii="Arial" w:eastAsia="Aptos" w:hAnsi="Arial" w:cs="Arial"/>
                <w:sz w:val="22"/>
                <w:szCs w:val="22"/>
              </w:rPr>
            </w:pPr>
          </w:p>
        </w:tc>
        <w:tc>
          <w:tcPr>
            <w:tcW w:w="2987" w:type="dxa"/>
          </w:tcPr>
          <w:p w14:paraId="52A5EED0"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Shared lexicon: exercise discernment, personal educational goals</w:t>
            </w:r>
          </w:p>
        </w:tc>
      </w:tr>
      <w:tr w:rsidR="001142E9" w14:paraId="52A5EED9" w14:textId="77777777">
        <w:tc>
          <w:tcPr>
            <w:tcW w:w="881" w:type="dxa"/>
          </w:tcPr>
          <w:p w14:paraId="52A5EED2"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77-78</w:t>
            </w:r>
          </w:p>
        </w:tc>
        <w:tc>
          <w:tcPr>
            <w:tcW w:w="1328" w:type="dxa"/>
          </w:tcPr>
          <w:p w14:paraId="52A5EED3"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60</w:t>
            </w:r>
          </w:p>
        </w:tc>
        <w:tc>
          <w:tcPr>
            <w:tcW w:w="3392" w:type="dxa"/>
          </w:tcPr>
          <w:p w14:paraId="52A5EED4" w14:textId="77777777" w:rsidR="001142E9" w:rsidRDefault="002B3BB7">
            <w:pPr>
              <w:contextualSpacing/>
              <w:rPr>
                <w:rFonts w:ascii="Arial" w:hAnsi="Arial" w:cs="Arial"/>
                <w:sz w:val="22"/>
                <w:szCs w:val="22"/>
              </w:rPr>
            </w:pPr>
            <w:r>
              <w:rPr>
                <w:rFonts w:ascii="Arial" w:eastAsia="Aptos" w:hAnsi="Arial" w:cs="Arial"/>
                <w:sz w:val="22"/>
                <w:szCs w:val="22"/>
              </w:rPr>
              <w:t>Whitehead (1993) contends that as student teachers experience autonomy in relation to making professional judgements and decisions, pedagogical strategies/approaches and assessment procedures, require consideration, in addition to learning objectives implemented. Such commitment, among student teachers should resonate with personal values situated within the teaching of trainees (Whitehead, 1993).</w:t>
            </w:r>
          </w:p>
          <w:p w14:paraId="52A5EED5" w14:textId="77777777" w:rsidR="001142E9" w:rsidRDefault="001142E9">
            <w:pPr>
              <w:spacing w:after="0" w:line="240" w:lineRule="auto"/>
              <w:contextualSpacing/>
              <w:rPr>
                <w:rFonts w:ascii="Arial" w:hAnsi="Arial" w:cs="Arial"/>
                <w:color w:val="000000"/>
                <w:sz w:val="22"/>
                <w:szCs w:val="22"/>
              </w:rPr>
            </w:pPr>
          </w:p>
        </w:tc>
        <w:tc>
          <w:tcPr>
            <w:tcW w:w="3399" w:type="dxa"/>
          </w:tcPr>
          <w:p w14:paraId="52A5EED6"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When they experience autonomy in relation to making professional judgements and decisions as to the content, pedagogical strategies/approaches and assessment procedures they use with pupils in the context of their own classrooms, student teachers should begin to more fully realise personal values in their own teaching (Whitehead, 1993).</w:t>
            </w:r>
          </w:p>
        </w:tc>
        <w:tc>
          <w:tcPr>
            <w:tcW w:w="1960" w:type="dxa"/>
          </w:tcPr>
          <w:p w14:paraId="52A5EED7"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text/close paraphrase</w:t>
            </w:r>
          </w:p>
        </w:tc>
        <w:tc>
          <w:tcPr>
            <w:tcW w:w="2987" w:type="dxa"/>
          </w:tcPr>
          <w:p w14:paraId="52A5EED8"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Same use of Whitehead</w:t>
            </w:r>
          </w:p>
        </w:tc>
      </w:tr>
      <w:tr w:rsidR="001142E9" w14:paraId="52A5EEE5" w14:textId="77777777">
        <w:tc>
          <w:tcPr>
            <w:tcW w:w="881" w:type="dxa"/>
          </w:tcPr>
          <w:p w14:paraId="52A5EEDA"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79</w:t>
            </w:r>
          </w:p>
        </w:tc>
        <w:tc>
          <w:tcPr>
            <w:tcW w:w="1328" w:type="dxa"/>
          </w:tcPr>
          <w:p w14:paraId="52A5EEDB"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80</w:t>
            </w:r>
          </w:p>
        </w:tc>
        <w:tc>
          <w:tcPr>
            <w:tcW w:w="3392" w:type="dxa"/>
          </w:tcPr>
          <w:p w14:paraId="52A5EEDC" w14:textId="77777777" w:rsidR="001142E9" w:rsidRDefault="002B3BB7">
            <w:pPr>
              <w:contextualSpacing/>
              <w:rPr>
                <w:rFonts w:ascii="Arial" w:hAnsi="Arial" w:cs="Arial"/>
                <w:sz w:val="22"/>
                <w:szCs w:val="22"/>
              </w:rPr>
            </w:pPr>
            <w:r>
              <w:rPr>
                <w:rFonts w:ascii="Arial" w:eastAsia="Aptos" w:hAnsi="Arial" w:cs="Arial"/>
                <w:sz w:val="22"/>
                <w:szCs w:val="22"/>
              </w:rPr>
              <w:t>Reflective practice can be defined as a complex, multi-dimensional concept which has invariably underpinned educational practice for a considerable period of time, particularly in educational discourse and research. As this review of literature illustrates, there is various rhetoric concerning the implementation of reflection and reflective practice within education.</w:t>
            </w:r>
          </w:p>
          <w:p w14:paraId="52A5EEDD" w14:textId="77777777" w:rsidR="001142E9" w:rsidRDefault="001142E9">
            <w:pPr>
              <w:contextualSpacing/>
              <w:rPr>
                <w:rFonts w:ascii="Arial" w:hAnsi="Arial" w:cs="Arial"/>
                <w:sz w:val="22"/>
                <w:szCs w:val="22"/>
              </w:rPr>
            </w:pPr>
          </w:p>
          <w:p w14:paraId="52A5EEDE" w14:textId="77777777" w:rsidR="001142E9" w:rsidRDefault="001142E9">
            <w:pPr>
              <w:spacing w:after="0" w:line="240" w:lineRule="auto"/>
              <w:contextualSpacing/>
              <w:rPr>
                <w:rFonts w:ascii="Arial" w:hAnsi="Arial" w:cs="Arial"/>
                <w:color w:val="000000"/>
                <w:sz w:val="22"/>
                <w:szCs w:val="22"/>
              </w:rPr>
            </w:pPr>
          </w:p>
        </w:tc>
        <w:tc>
          <w:tcPr>
            <w:tcW w:w="3399" w:type="dxa"/>
          </w:tcPr>
          <w:p w14:paraId="52A5EEDF" w14:textId="77777777" w:rsidR="001142E9" w:rsidRDefault="002B3BB7">
            <w:pPr>
              <w:contextualSpacing/>
              <w:rPr>
                <w:rFonts w:ascii="Arial" w:hAnsi="Arial" w:cs="Arial"/>
                <w:sz w:val="22"/>
                <w:szCs w:val="22"/>
              </w:rPr>
            </w:pPr>
            <w:r>
              <w:rPr>
                <w:rFonts w:ascii="Arial" w:eastAsia="Aptos" w:hAnsi="Arial" w:cs="Arial"/>
                <w:sz w:val="22"/>
                <w:szCs w:val="22"/>
              </w:rPr>
              <w:t xml:space="preserve">Reflective practice is a complex, multi-dimensional phenomenon and over the past few decades has been at the centre of educational discourse and research. As this review of literature exemplifies, there has been much rhetoric about reflection and reflective practice in particular. </w:t>
            </w:r>
          </w:p>
          <w:p w14:paraId="52A5EEE0" w14:textId="77777777" w:rsidR="001142E9" w:rsidRDefault="001142E9">
            <w:pPr>
              <w:contextualSpacing/>
              <w:rPr>
                <w:rFonts w:ascii="Arial" w:hAnsi="Arial" w:cs="Arial"/>
                <w:sz w:val="22"/>
                <w:szCs w:val="22"/>
              </w:rPr>
            </w:pPr>
          </w:p>
          <w:p w14:paraId="52A5EEE1" w14:textId="77777777" w:rsidR="001142E9" w:rsidRDefault="001142E9">
            <w:pPr>
              <w:contextualSpacing/>
              <w:rPr>
                <w:rFonts w:ascii="Arial" w:hAnsi="Arial" w:cs="Arial"/>
                <w:sz w:val="22"/>
                <w:szCs w:val="22"/>
              </w:rPr>
            </w:pPr>
          </w:p>
          <w:p w14:paraId="52A5EEE2" w14:textId="77777777" w:rsidR="001142E9" w:rsidRDefault="001142E9">
            <w:pPr>
              <w:spacing w:after="0" w:line="240" w:lineRule="auto"/>
              <w:contextualSpacing/>
              <w:rPr>
                <w:rFonts w:ascii="Arial" w:hAnsi="Arial" w:cs="Arial"/>
                <w:color w:val="000000"/>
                <w:sz w:val="22"/>
                <w:szCs w:val="22"/>
              </w:rPr>
            </w:pPr>
          </w:p>
        </w:tc>
        <w:tc>
          <w:tcPr>
            <w:tcW w:w="1960" w:type="dxa"/>
          </w:tcPr>
          <w:p w14:paraId="52A5EEE3"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text/close paraphrase</w:t>
            </w:r>
          </w:p>
        </w:tc>
        <w:tc>
          <w:tcPr>
            <w:tcW w:w="2987" w:type="dxa"/>
          </w:tcPr>
          <w:p w14:paraId="52A5EEE4"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Paraphrase include: ‘past few decades’ becomes ‘considerable period of time’; ‘at the centre of educational discourse’ becomes ‘underpinned educational practice’</w:t>
            </w:r>
          </w:p>
        </w:tc>
      </w:tr>
      <w:tr w:rsidR="001142E9" w14:paraId="52A5EEF8" w14:textId="77777777">
        <w:tc>
          <w:tcPr>
            <w:tcW w:w="881" w:type="dxa"/>
          </w:tcPr>
          <w:p w14:paraId="52A5EEE6"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79</w:t>
            </w:r>
          </w:p>
        </w:tc>
        <w:tc>
          <w:tcPr>
            <w:tcW w:w="1328" w:type="dxa"/>
          </w:tcPr>
          <w:p w14:paraId="52A5EEE7"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80</w:t>
            </w:r>
          </w:p>
        </w:tc>
        <w:tc>
          <w:tcPr>
            <w:tcW w:w="3392" w:type="dxa"/>
          </w:tcPr>
          <w:p w14:paraId="52A5EEE8" w14:textId="77777777" w:rsidR="001142E9" w:rsidRDefault="002B3BB7">
            <w:pPr>
              <w:contextualSpacing/>
              <w:rPr>
                <w:rFonts w:ascii="Arial" w:hAnsi="Arial" w:cs="Arial"/>
                <w:sz w:val="22"/>
                <w:szCs w:val="22"/>
              </w:rPr>
            </w:pPr>
            <w:r>
              <w:rPr>
                <w:rFonts w:ascii="Arial" w:eastAsia="Aptos" w:hAnsi="Arial" w:cs="Arial"/>
                <w:sz w:val="22"/>
                <w:szCs w:val="22"/>
              </w:rPr>
              <w:t>Synonymous with Calderhead’s (1989: 43) disposition it has become evident that conceptions of reflective practice very often encompass ‘some notion of reflection in the process of professional development, but at the same time, disguise a vast number of conceptual variations, with a range of implications for the organisation and design of teacher education courses’. Furthermore, teacher educators, researchers and other commentators within the field maintain various beliefs and values concerning teaching and</w:t>
            </w:r>
            <w:r>
              <w:rPr>
                <w:rFonts w:ascii="Arial" w:eastAsia="Aptos" w:hAnsi="Arial" w:cs="Arial"/>
                <w:sz w:val="22"/>
                <w:szCs w:val="22"/>
              </w:rPr>
              <w:t xml:space="preserve"> teacher education generally, with regards to the impact of reflexive discourse.</w:t>
            </w:r>
          </w:p>
          <w:p w14:paraId="52A5EEE9" w14:textId="77777777" w:rsidR="001142E9" w:rsidRDefault="001142E9">
            <w:pPr>
              <w:spacing w:after="0" w:line="240" w:lineRule="auto"/>
              <w:contextualSpacing/>
              <w:rPr>
                <w:rFonts w:ascii="Arial" w:hAnsi="Arial" w:cs="Arial"/>
                <w:color w:val="000000"/>
                <w:sz w:val="22"/>
                <w:szCs w:val="22"/>
              </w:rPr>
            </w:pPr>
          </w:p>
        </w:tc>
        <w:tc>
          <w:tcPr>
            <w:tcW w:w="3399" w:type="dxa"/>
          </w:tcPr>
          <w:p w14:paraId="52A5EEEA"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 xml:space="preserve">In line with Calderhead‟s (1989: 43) argument it has become apparent that interpretations of reflective practice all encompass “some notion of reflection in the process of professional development, but at the same time, disguise a vast number of conceptual variations, with a range of implications for the organisation and design of teacher education courses‟. </w:t>
            </w:r>
          </w:p>
          <w:p w14:paraId="52A5EEEB" w14:textId="77777777" w:rsidR="001142E9" w:rsidRDefault="001142E9">
            <w:pPr>
              <w:spacing w:after="0" w:line="240" w:lineRule="auto"/>
              <w:contextualSpacing/>
              <w:rPr>
                <w:rFonts w:ascii="Arial" w:hAnsi="Arial" w:cs="Arial"/>
                <w:sz w:val="22"/>
                <w:szCs w:val="22"/>
              </w:rPr>
            </w:pPr>
          </w:p>
          <w:p w14:paraId="52A5EEEC" w14:textId="77777777" w:rsidR="001142E9" w:rsidRDefault="001142E9">
            <w:pPr>
              <w:spacing w:after="0" w:line="240" w:lineRule="auto"/>
              <w:contextualSpacing/>
              <w:rPr>
                <w:rFonts w:ascii="Arial" w:hAnsi="Arial" w:cs="Arial"/>
                <w:sz w:val="22"/>
                <w:szCs w:val="22"/>
              </w:rPr>
            </w:pPr>
          </w:p>
          <w:p w14:paraId="52A5EEED"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Furthermore, teacher educators, researchers and other writers in the field “hold a range of beliefs about teaching and teacher education into which they have incorporated their own particular notions of reflection‟ (ibid: 45).</w:t>
            </w:r>
          </w:p>
        </w:tc>
        <w:tc>
          <w:tcPr>
            <w:tcW w:w="1960" w:type="dxa"/>
          </w:tcPr>
          <w:p w14:paraId="52A5EEEE"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text/close paraphrase, identical reference to Calderhead</w:t>
            </w:r>
          </w:p>
        </w:tc>
        <w:tc>
          <w:tcPr>
            <w:tcW w:w="2987" w:type="dxa"/>
          </w:tcPr>
          <w:p w14:paraId="52A5EEEF"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Paraphrases include: ‘In line with’ becomes ‘Synonymous with’; ‘argument’ is rendered as ‘disposition’;  “into which they have incorporated their own particular notions of reflection‟ is rendered as “regards to the impact of reflexive discourse”</w:t>
            </w:r>
          </w:p>
          <w:p w14:paraId="52A5EEF0" w14:textId="77777777" w:rsidR="001142E9" w:rsidRDefault="001142E9">
            <w:pPr>
              <w:spacing w:after="0" w:line="240" w:lineRule="auto"/>
              <w:contextualSpacing/>
              <w:rPr>
                <w:rFonts w:ascii="Arial" w:hAnsi="Arial" w:cs="Arial"/>
                <w:sz w:val="22"/>
                <w:szCs w:val="22"/>
              </w:rPr>
            </w:pPr>
          </w:p>
          <w:p w14:paraId="52A5EEF1" w14:textId="77777777" w:rsidR="001142E9" w:rsidRDefault="001142E9">
            <w:pPr>
              <w:spacing w:after="0" w:line="240" w:lineRule="auto"/>
              <w:contextualSpacing/>
              <w:rPr>
                <w:rFonts w:ascii="Arial" w:hAnsi="Arial" w:cs="Arial"/>
                <w:sz w:val="22"/>
                <w:szCs w:val="22"/>
              </w:rPr>
            </w:pPr>
          </w:p>
          <w:p w14:paraId="52A5EEF2" w14:textId="77777777" w:rsidR="001142E9" w:rsidRDefault="001142E9">
            <w:pPr>
              <w:spacing w:after="0" w:line="240" w:lineRule="auto"/>
              <w:contextualSpacing/>
              <w:rPr>
                <w:rFonts w:ascii="Arial" w:hAnsi="Arial" w:cs="Arial"/>
                <w:sz w:val="22"/>
                <w:szCs w:val="22"/>
              </w:rPr>
            </w:pPr>
          </w:p>
          <w:p w14:paraId="52A5EEF3" w14:textId="77777777" w:rsidR="001142E9" w:rsidRDefault="001142E9">
            <w:pPr>
              <w:spacing w:after="0" w:line="240" w:lineRule="auto"/>
              <w:contextualSpacing/>
              <w:rPr>
                <w:rFonts w:ascii="Arial" w:eastAsia="Aptos" w:hAnsi="Arial" w:cs="Arial"/>
                <w:sz w:val="22"/>
                <w:szCs w:val="22"/>
              </w:rPr>
            </w:pPr>
          </w:p>
          <w:p w14:paraId="52A5EEF4" w14:textId="77777777" w:rsidR="001142E9" w:rsidRDefault="002B3BB7">
            <w:pPr>
              <w:spacing w:after="0" w:line="240" w:lineRule="auto"/>
              <w:contextualSpacing/>
              <w:rPr>
                <w:rFonts w:ascii="Arial" w:eastAsia="Aptos" w:hAnsi="Arial" w:cs="Arial"/>
                <w:sz w:val="22"/>
                <w:szCs w:val="22"/>
              </w:rPr>
            </w:pPr>
            <w:r>
              <w:rPr>
                <w:rFonts w:ascii="Arial" w:eastAsia="Aptos" w:hAnsi="Arial" w:cs="Arial"/>
                <w:sz w:val="22"/>
                <w:szCs w:val="22"/>
              </w:rPr>
              <w:t>‘other writers’ becomes ‘other commentators’</w:t>
            </w:r>
          </w:p>
          <w:p w14:paraId="52A5EEF5" w14:textId="77777777" w:rsidR="001142E9" w:rsidRDefault="001142E9">
            <w:pPr>
              <w:spacing w:after="0" w:line="240" w:lineRule="auto"/>
              <w:contextualSpacing/>
              <w:rPr>
                <w:rFonts w:ascii="Arial" w:eastAsia="Aptos" w:hAnsi="Arial" w:cs="Arial"/>
                <w:sz w:val="22"/>
                <w:szCs w:val="22"/>
              </w:rPr>
            </w:pPr>
          </w:p>
          <w:p w14:paraId="52A5EEF6" w14:textId="77777777" w:rsidR="001142E9" w:rsidRDefault="001142E9">
            <w:pPr>
              <w:spacing w:after="0" w:line="240" w:lineRule="auto"/>
              <w:contextualSpacing/>
              <w:rPr>
                <w:rFonts w:ascii="Arial" w:eastAsia="Aptos" w:hAnsi="Arial" w:cs="Arial"/>
                <w:sz w:val="22"/>
                <w:szCs w:val="22"/>
              </w:rPr>
            </w:pPr>
          </w:p>
          <w:p w14:paraId="52A5EEF7" w14:textId="77777777" w:rsidR="001142E9" w:rsidRDefault="002B3BB7">
            <w:pPr>
              <w:spacing w:after="0" w:line="240" w:lineRule="auto"/>
              <w:contextualSpacing/>
              <w:rPr>
                <w:rFonts w:ascii="Arial" w:eastAsia="Aptos" w:hAnsi="Arial" w:cs="Arial"/>
                <w:sz w:val="22"/>
                <w:szCs w:val="22"/>
              </w:rPr>
            </w:pPr>
            <w:r>
              <w:rPr>
                <w:rFonts w:ascii="Arial" w:eastAsia="Aptos" w:hAnsi="Arial" w:cs="Arial"/>
                <w:sz w:val="22"/>
                <w:szCs w:val="22"/>
              </w:rPr>
              <w:t>‘range of beliefs’ becomes ‘various beliefs’</w:t>
            </w:r>
          </w:p>
        </w:tc>
      </w:tr>
      <w:tr w:rsidR="001142E9" w14:paraId="52A5EF03" w14:textId="77777777">
        <w:tc>
          <w:tcPr>
            <w:tcW w:w="881" w:type="dxa"/>
          </w:tcPr>
          <w:p w14:paraId="52A5EEF9"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80</w:t>
            </w:r>
          </w:p>
        </w:tc>
        <w:tc>
          <w:tcPr>
            <w:tcW w:w="1328" w:type="dxa"/>
          </w:tcPr>
          <w:p w14:paraId="52A5EEFA"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80</w:t>
            </w:r>
          </w:p>
        </w:tc>
        <w:tc>
          <w:tcPr>
            <w:tcW w:w="3392" w:type="dxa"/>
          </w:tcPr>
          <w:p w14:paraId="52A5EEFB" w14:textId="77777777" w:rsidR="001142E9" w:rsidRDefault="002B3BB7">
            <w:pPr>
              <w:contextualSpacing/>
              <w:rPr>
                <w:rFonts w:ascii="Arial" w:hAnsi="Arial" w:cs="Arial"/>
                <w:sz w:val="22"/>
                <w:szCs w:val="22"/>
              </w:rPr>
            </w:pPr>
            <w:r>
              <w:rPr>
                <w:rFonts w:ascii="Arial" w:eastAsia="Aptos" w:hAnsi="Arial" w:cs="Arial"/>
                <w:sz w:val="22"/>
                <w:szCs w:val="22"/>
              </w:rPr>
              <w:t xml:space="preserve">Reflective practice has been conceptualised as a creative process in that student teachers utilise and frame their experiences to generate new ways of knowing, in addition to developing epistemological dispositions, in attempting to evaluate teaching practice. </w:t>
            </w:r>
          </w:p>
        </w:tc>
        <w:tc>
          <w:tcPr>
            <w:tcW w:w="3399" w:type="dxa"/>
          </w:tcPr>
          <w:p w14:paraId="52A5EEFC" w14:textId="77777777" w:rsidR="001142E9" w:rsidRDefault="002B3BB7">
            <w:pPr>
              <w:contextualSpacing/>
              <w:rPr>
                <w:rFonts w:ascii="Arial" w:hAnsi="Arial" w:cs="Arial"/>
                <w:sz w:val="22"/>
                <w:szCs w:val="22"/>
              </w:rPr>
            </w:pPr>
            <w:r>
              <w:rPr>
                <w:rFonts w:ascii="Arial" w:eastAsia="Aptos" w:hAnsi="Arial" w:cs="Arial"/>
                <w:sz w:val="22"/>
                <w:szCs w:val="22"/>
              </w:rPr>
              <w:t xml:space="preserve">Reflective practice has been conceptualised as a creative process in that student teachers frame each unique teaching situation and begin to generate their own theories-in-use or personal epistemology as to what actually works for them in practice. </w:t>
            </w:r>
          </w:p>
          <w:p w14:paraId="52A5EEFD" w14:textId="77777777" w:rsidR="001142E9" w:rsidRDefault="001142E9">
            <w:pPr>
              <w:spacing w:after="0" w:line="240" w:lineRule="auto"/>
              <w:contextualSpacing/>
              <w:rPr>
                <w:rFonts w:ascii="Arial" w:hAnsi="Arial" w:cs="Arial"/>
                <w:color w:val="000000"/>
                <w:sz w:val="22"/>
                <w:szCs w:val="22"/>
              </w:rPr>
            </w:pPr>
          </w:p>
        </w:tc>
        <w:tc>
          <w:tcPr>
            <w:tcW w:w="1960" w:type="dxa"/>
          </w:tcPr>
          <w:p w14:paraId="52A5EEFE"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text/close paraphrase</w:t>
            </w:r>
          </w:p>
        </w:tc>
        <w:tc>
          <w:tcPr>
            <w:tcW w:w="2987" w:type="dxa"/>
          </w:tcPr>
          <w:p w14:paraId="52A5EEFF" w14:textId="77777777" w:rsidR="001142E9" w:rsidRDefault="001142E9">
            <w:pPr>
              <w:spacing w:after="0" w:line="240" w:lineRule="auto"/>
              <w:contextualSpacing/>
              <w:rPr>
                <w:rFonts w:ascii="Arial" w:hAnsi="Arial" w:cs="Arial"/>
                <w:sz w:val="22"/>
                <w:szCs w:val="22"/>
              </w:rPr>
            </w:pPr>
          </w:p>
          <w:p w14:paraId="52A5EF00" w14:textId="77777777" w:rsidR="001142E9" w:rsidRDefault="001142E9">
            <w:pPr>
              <w:spacing w:after="0" w:line="240" w:lineRule="auto"/>
              <w:contextualSpacing/>
              <w:rPr>
                <w:rFonts w:ascii="Arial" w:hAnsi="Arial" w:cs="Arial"/>
                <w:sz w:val="22"/>
                <w:szCs w:val="22"/>
              </w:rPr>
            </w:pPr>
          </w:p>
          <w:p w14:paraId="52A5EF01"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 xml:space="preserve">Paraphrases include: </w:t>
            </w:r>
          </w:p>
          <w:p w14:paraId="52A5EF02"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“their own theories-in-use’ becomes ‘new ways of knowing’;‘personal epistemology’ in Z-M becomes ‘epistemological dispositions’ in Arday</w:t>
            </w:r>
          </w:p>
        </w:tc>
      </w:tr>
      <w:tr w:rsidR="001142E9" w14:paraId="52A5EF0D" w14:textId="77777777">
        <w:tc>
          <w:tcPr>
            <w:tcW w:w="881" w:type="dxa"/>
          </w:tcPr>
          <w:p w14:paraId="52A5EF04"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80</w:t>
            </w:r>
          </w:p>
        </w:tc>
        <w:tc>
          <w:tcPr>
            <w:tcW w:w="1328" w:type="dxa"/>
          </w:tcPr>
          <w:p w14:paraId="52A5EF05"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81</w:t>
            </w:r>
          </w:p>
        </w:tc>
        <w:tc>
          <w:tcPr>
            <w:tcW w:w="3392" w:type="dxa"/>
          </w:tcPr>
          <w:p w14:paraId="52A5EF06" w14:textId="77777777" w:rsidR="001142E9" w:rsidRDefault="002B3BB7">
            <w:pPr>
              <w:contextualSpacing/>
              <w:rPr>
                <w:rFonts w:ascii="Arial" w:hAnsi="Arial" w:cs="Arial"/>
                <w:sz w:val="22"/>
                <w:szCs w:val="22"/>
              </w:rPr>
            </w:pPr>
            <w:r>
              <w:rPr>
                <w:rFonts w:ascii="Arial" w:eastAsia="Aptos" w:hAnsi="Arial" w:cs="Arial"/>
                <w:sz w:val="22"/>
                <w:szCs w:val="22"/>
              </w:rPr>
              <w:t>The synergy Schon (1983, 1987) draws between knowing-in-action and reflection-on-action provides some stimulus for how student teachers can develop tacit knowledge, challenge beliefs and values, and scrutinise teaching practices within private or public domains.</w:t>
            </w:r>
          </w:p>
          <w:p w14:paraId="52A5EF07" w14:textId="77777777" w:rsidR="001142E9" w:rsidRDefault="001142E9">
            <w:pPr>
              <w:spacing w:after="0" w:line="240" w:lineRule="auto"/>
              <w:contextualSpacing/>
              <w:rPr>
                <w:rFonts w:ascii="Arial" w:hAnsi="Arial" w:cs="Arial"/>
                <w:color w:val="000000"/>
                <w:sz w:val="22"/>
                <w:szCs w:val="22"/>
              </w:rPr>
            </w:pPr>
          </w:p>
        </w:tc>
        <w:tc>
          <w:tcPr>
            <w:tcW w:w="3399" w:type="dxa"/>
          </w:tcPr>
          <w:p w14:paraId="52A5EF08" w14:textId="77777777" w:rsidR="001142E9" w:rsidRDefault="002B3BB7">
            <w:pPr>
              <w:contextualSpacing/>
              <w:rPr>
                <w:rFonts w:ascii="Arial" w:hAnsi="Arial" w:cs="Arial"/>
                <w:sz w:val="22"/>
                <w:szCs w:val="22"/>
              </w:rPr>
            </w:pPr>
            <w:r>
              <w:rPr>
                <w:rFonts w:ascii="Arial" w:eastAsia="Aptos" w:hAnsi="Arial" w:cs="Arial"/>
                <w:sz w:val="22"/>
                <w:szCs w:val="22"/>
              </w:rPr>
              <w:t xml:space="preserve">The relationship Schon (1983, 1987) draws between knowing in action and reflection on action provides insight as to how student teachers can make their tacit, implicit assumptions, beliefs, theories and values explicit and open to scrutiny and critique as their reflective conversations move from the private, inner domain to the public arena. </w:t>
            </w:r>
          </w:p>
          <w:p w14:paraId="52A5EF09" w14:textId="77777777" w:rsidR="001142E9" w:rsidRDefault="001142E9">
            <w:pPr>
              <w:spacing w:after="0" w:line="240" w:lineRule="auto"/>
              <w:contextualSpacing/>
              <w:rPr>
                <w:rFonts w:ascii="Arial" w:hAnsi="Arial" w:cs="Arial"/>
                <w:color w:val="000000"/>
                <w:sz w:val="22"/>
                <w:szCs w:val="22"/>
              </w:rPr>
            </w:pPr>
          </w:p>
        </w:tc>
        <w:tc>
          <w:tcPr>
            <w:tcW w:w="1960" w:type="dxa"/>
          </w:tcPr>
          <w:p w14:paraId="52A5EF0A"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text/close paraphrase in discussion of Schon</w:t>
            </w:r>
          </w:p>
        </w:tc>
        <w:tc>
          <w:tcPr>
            <w:tcW w:w="2987" w:type="dxa"/>
          </w:tcPr>
          <w:p w14:paraId="52A5EF0B" w14:textId="77777777" w:rsidR="001142E9" w:rsidRDefault="002B3BB7">
            <w:pPr>
              <w:contextualSpacing/>
              <w:rPr>
                <w:rFonts w:ascii="Arial" w:hAnsi="Arial" w:cs="Arial"/>
                <w:sz w:val="22"/>
                <w:szCs w:val="22"/>
              </w:rPr>
            </w:pPr>
            <w:r>
              <w:rPr>
                <w:rFonts w:ascii="Arial" w:eastAsia="Aptos" w:hAnsi="Arial" w:cs="Arial"/>
                <w:sz w:val="22"/>
                <w:szCs w:val="22"/>
              </w:rPr>
              <w:t>Paraphrase include:  ‘relationship’ becomes ‘synergy’; ‘private, inner domain to the public arena’ becomes ‘within private or public domains’</w:t>
            </w:r>
          </w:p>
          <w:p w14:paraId="52A5EF0C" w14:textId="77777777" w:rsidR="001142E9" w:rsidRDefault="001142E9">
            <w:pPr>
              <w:spacing w:after="0" w:line="240" w:lineRule="auto"/>
              <w:contextualSpacing/>
              <w:rPr>
                <w:rFonts w:ascii="Arial" w:eastAsia="Aptos" w:hAnsi="Arial" w:cs="Arial"/>
                <w:sz w:val="22"/>
                <w:szCs w:val="22"/>
              </w:rPr>
            </w:pPr>
          </w:p>
        </w:tc>
      </w:tr>
      <w:tr w:rsidR="001142E9" w14:paraId="52A5EF15" w14:textId="77777777">
        <w:tc>
          <w:tcPr>
            <w:tcW w:w="881" w:type="dxa"/>
          </w:tcPr>
          <w:p w14:paraId="52A5EF0E"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80</w:t>
            </w:r>
          </w:p>
        </w:tc>
        <w:tc>
          <w:tcPr>
            <w:tcW w:w="1328" w:type="dxa"/>
          </w:tcPr>
          <w:p w14:paraId="52A5EF0F"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81</w:t>
            </w:r>
          </w:p>
        </w:tc>
        <w:tc>
          <w:tcPr>
            <w:tcW w:w="3392" w:type="dxa"/>
          </w:tcPr>
          <w:p w14:paraId="52A5EF10" w14:textId="77777777" w:rsidR="001142E9" w:rsidRDefault="002B3BB7">
            <w:pPr>
              <w:contextualSpacing/>
              <w:rPr>
                <w:rFonts w:ascii="Arial" w:hAnsi="Arial" w:cs="Arial"/>
                <w:sz w:val="22"/>
                <w:szCs w:val="22"/>
              </w:rPr>
            </w:pPr>
            <w:r>
              <w:rPr>
                <w:rFonts w:ascii="Arial" w:eastAsia="Aptos" w:hAnsi="Arial" w:cs="Arial"/>
                <w:sz w:val="22"/>
                <w:szCs w:val="22"/>
              </w:rPr>
              <w:t>Within this context, emphasis is directed towards the role of the dialogical other and critical friend in assisting reflective endeavour, in attempting to progress student teachers’ teaching and learning practice.</w:t>
            </w:r>
          </w:p>
          <w:p w14:paraId="52A5EF11" w14:textId="77777777" w:rsidR="001142E9" w:rsidRDefault="001142E9">
            <w:pPr>
              <w:spacing w:after="0" w:line="240" w:lineRule="auto"/>
              <w:contextualSpacing/>
              <w:rPr>
                <w:rFonts w:ascii="Arial" w:hAnsi="Arial" w:cs="Arial"/>
                <w:color w:val="000000"/>
                <w:sz w:val="22"/>
                <w:szCs w:val="22"/>
              </w:rPr>
            </w:pPr>
          </w:p>
        </w:tc>
        <w:tc>
          <w:tcPr>
            <w:tcW w:w="3399" w:type="dxa"/>
          </w:tcPr>
          <w:p w14:paraId="52A5EF12"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 xml:space="preserve">                      </w:t>
            </w:r>
            <w:r>
              <w:rPr>
                <w:rFonts w:ascii="Arial" w:eastAsia="Aptos" w:hAnsi="Arial" w:cs="Arial"/>
                <w:sz w:val="22"/>
                <w:szCs w:val="22"/>
              </w:rPr>
              <w:t>An emphasis is placed on the roles of the dialogical other and critical friend in supporting this process so as to move student teachers‟ learning forward.</w:t>
            </w:r>
          </w:p>
        </w:tc>
        <w:tc>
          <w:tcPr>
            <w:tcW w:w="1960" w:type="dxa"/>
          </w:tcPr>
          <w:p w14:paraId="52A5EF13"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text/close paraphrase</w:t>
            </w:r>
          </w:p>
        </w:tc>
        <w:tc>
          <w:tcPr>
            <w:tcW w:w="2987" w:type="dxa"/>
          </w:tcPr>
          <w:p w14:paraId="52A5EF14" w14:textId="77777777" w:rsidR="001142E9" w:rsidRDefault="001142E9">
            <w:pPr>
              <w:spacing w:after="0" w:line="240" w:lineRule="auto"/>
              <w:contextualSpacing/>
              <w:rPr>
                <w:rFonts w:ascii="Arial" w:eastAsia="Aptos" w:hAnsi="Arial" w:cs="Arial"/>
                <w:sz w:val="22"/>
                <w:szCs w:val="22"/>
              </w:rPr>
            </w:pPr>
          </w:p>
        </w:tc>
      </w:tr>
      <w:tr w:rsidR="001142E9" w14:paraId="52A5EF1D" w14:textId="77777777">
        <w:tc>
          <w:tcPr>
            <w:tcW w:w="881" w:type="dxa"/>
          </w:tcPr>
          <w:p w14:paraId="52A5EF16"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80</w:t>
            </w:r>
          </w:p>
        </w:tc>
        <w:tc>
          <w:tcPr>
            <w:tcW w:w="1328" w:type="dxa"/>
          </w:tcPr>
          <w:p w14:paraId="52A5EF17"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81</w:t>
            </w:r>
          </w:p>
        </w:tc>
        <w:tc>
          <w:tcPr>
            <w:tcW w:w="3392" w:type="dxa"/>
          </w:tcPr>
          <w:p w14:paraId="52A5EF18" w14:textId="77777777" w:rsidR="001142E9" w:rsidRDefault="002B3BB7">
            <w:pPr>
              <w:contextualSpacing/>
              <w:rPr>
                <w:rFonts w:ascii="Arial" w:hAnsi="Arial" w:cs="Arial"/>
                <w:sz w:val="22"/>
                <w:szCs w:val="22"/>
              </w:rPr>
            </w:pPr>
            <w:r>
              <w:rPr>
                <w:rFonts w:ascii="Arial" w:eastAsia="Aptos" w:hAnsi="Arial" w:cs="Arial"/>
                <w:sz w:val="22"/>
                <w:szCs w:val="22"/>
              </w:rPr>
              <w:t xml:space="preserve">When situated at the centre of professional growth and development, reflective practice can be the catalyst for self-study and research into personal teaching practice. </w:t>
            </w:r>
          </w:p>
          <w:p w14:paraId="52A5EF19" w14:textId="77777777" w:rsidR="001142E9" w:rsidRDefault="001142E9">
            <w:pPr>
              <w:spacing w:after="0" w:line="240" w:lineRule="auto"/>
              <w:contextualSpacing/>
              <w:rPr>
                <w:rFonts w:ascii="Arial" w:hAnsi="Arial" w:cs="Arial"/>
                <w:color w:val="000000"/>
                <w:sz w:val="22"/>
                <w:szCs w:val="22"/>
              </w:rPr>
            </w:pPr>
          </w:p>
        </w:tc>
        <w:tc>
          <w:tcPr>
            <w:tcW w:w="3399" w:type="dxa"/>
          </w:tcPr>
          <w:p w14:paraId="52A5EF1A"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 xml:space="preserve">When positioned at the core of professional growth and development, reflective practice is inextricably linked to the art of self-study and research into personal practice. </w:t>
            </w:r>
          </w:p>
        </w:tc>
        <w:tc>
          <w:tcPr>
            <w:tcW w:w="1960" w:type="dxa"/>
          </w:tcPr>
          <w:p w14:paraId="52A5EF1B"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text/close paraphrase</w:t>
            </w:r>
          </w:p>
        </w:tc>
        <w:tc>
          <w:tcPr>
            <w:tcW w:w="2987" w:type="dxa"/>
          </w:tcPr>
          <w:p w14:paraId="52A5EF1C"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Paraphrase include: ‘inextricably linked to’ becomes catalyst for’</w:t>
            </w:r>
          </w:p>
        </w:tc>
      </w:tr>
      <w:tr w:rsidR="001142E9" w14:paraId="52A5EF26" w14:textId="77777777">
        <w:tc>
          <w:tcPr>
            <w:tcW w:w="881" w:type="dxa"/>
          </w:tcPr>
          <w:p w14:paraId="52A5EF1E"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80</w:t>
            </w:r>
          </w:p>
        </w:tc>
        <w:tc>
          <w:tcPr>
            <w:tcW w:w="1328" w:type="dxa"/>
          </w:tcPr>
          <w:p w14:paraId="52A5EF1F"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81</w:t>
            </w:r>
          </w:p>
        </w:tc>
        <w:tc>
          <w:tcPr>
            <w:tcW w:w="3392" w:type="dxa"/>
          </w:tcPr>
          <w:p w14:paraId="52A5EF20" w14:textId="77777777" w:rsidR="001142E9" w:rsidRDefault="002B3BB7">
            <w:pPr>
              <w:contextualSpacing/>
              <w:rPr>
                <w:rFonts w:ascii="Arial" w:hAnsi="Arial" w:cs="Arial"/>
                <w:sz w:val="22"/>
                <w:szCs w:val="22"/>
              </w:rPr>
            </w:pPr>
            <w:r>
              <w:rPr>
                <w:rFonts w:ascii="Arial" w:eastAsia="Aptos" w:hAnsi="Arial" w:cs="Arial"/>
                <w:sz w:val="22"/>
                <w:szCs w:val="22"/>
              </w:rPr>
              <w:t>Student teachers, within this concept assume the role of action researcher in critiquing and evaluating what they do, and how this impacts the teaching environment and their teaching competencies.</w:t>
            </w:r>
          </w:p>
          <w:p w14:paraId="52A5EF21" w14:textId="77777777" w:rsidR="001142E9" w:rsidRDefault="001142E9">
            <w:pPr>
              <w:spacing w:after="0" w:line="240" w:lineRule="auto"/>
              <w:contextualSpacing/>
              <w:rPr>
                <w:rFonts w:ascii="Arial" w:hAnsi="Arial" w:cs="Arial"/>
                <w:color w:val="000000"/>
                <w:sz w:val="22"/>
                <w:szCs w:val="22"/>
              </w:rPr>
            </w:pPr>
          </w:p>
        </w:tc>
        <w:tc>
          <w:tcPr>
            <w:tcW w:w="3399" w:type="dxa"/>
          </w:tcPr>
          <w:p w14:paraId="52A5EF22" w14:textId="77777777" w:rsidR="001142E9" w:rsidRDefault="002B3BB7">
            <w:pPr>
              <w:contextualSpacing/>
              <w:rPr>
                <w:rFonts w:ascii="Arial" w:hAnsi="Arial" w:cs="Arial"/>
                <w:sz w:val="22"/>
                <w:szCs w:val="22"/>
              </w:rPr>
            </w:pPr>
            <w:r>
              <w:rPr>
                <w:rFonts w:ascii="Arial" w:eastAsia="Aptos" w:hAnsi="Arial" w:cs="Arial"/>
                <w:sz w:val="22"/>
                <w:szCs w:val="22"/>
              </w:rPr>
              <w:t xml:space="preserve">Student teachers assume the role of teacher as researcher as they scrutinise what they do, how they do what they do and importantly, why they do what they do in the teaching environment. </w:t>
            </w:r>
          </w:p>
          <w:p w14:paraId="52A5EF23" w14:textId="77777777" w:rsidR="001142E9" w:rsidRDefault="001142E9">
            <w:pPr>
              <w:spacing w:after="0" w:line="240" w:lineRule="auto"/>
              <w:contextualSpacing/>
              <w:rPr>
                <w:rFonts w:ascii="Arial" w:hAnsi="Arial" w:cs="Arial"/>
                <w:color w:val="000000"/>
                <w:sz w:val="22"/>
                <w:szCs w:val="22"/>
              </w:rPr>
            </w:pPr>
          </w:p>
        </w:tc>
        <w:tc>
          <w:tcPr>
            <w:tcW w:w="1960" w:type="dxa"/>
          </w:tcPr>
          <w:p w14:paraId="52A5EF24"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text/close paraphrase</w:t>
            </w:r>
          </w:p>
        </w:tc>
        <w:tc>
          <w:tcPr>
            <w:tcW w:w="2987" w:type="dxa"/>
          </w:tcPr>
          <w:p w14:paraId="52A5EF25" w14:textId="77777777" w:rsidR="001142E9" w:rsidRDefault="002B3BB7">
            <w:pPr>
              <w:spacing w:after="0" w:line="240" w:lineRule="auto"/>
              <w:contextualSpacing/>
              <w:rPr>
                <w:rFonts w:ascii="Arial" w:eastAsia="Aptos" w:hAnsi="Arial" w:cs="Arial"/>
                <w:sz w:val="22"/>
                <w:szCs w:val="22"/>
              </w:rPr>
            </w:pPr>
            <w:r>
              <w:rPr>
                <w:rFonts w:ascii="Arial" w:eastAsia="Aptos" w:hAnsi="Arial" w:cs="Arial"/>
                <w:sz w:val="22"/>
                <w:szCs w:val="22"/>
              </w:rPr>
              <w:t>Paraphrase includes: ‘</w:t>
            </w:r>
            <w:r>
              <w:rPr>
                <w:rFonts w:ascii="Arial" w:hAnsi="Arial" w:cs="Arial"/>
                <w:sz w:val="22"/>
                <w:szCs w:val="22"/>
              </w:rPr>
              <w:t>as they scrutinise what they do’ in Z-M becomes ‘critiquing and evaluating what they do’ in Arday</w:t>
            </w:r>
          </w:p>
        </w:tc>
      </w:tr>
      <w:tr w:rsidR="001142E9" w14:paraId="52A5EF2F" w14:textId="77777777">
        <w:tc>
          <w:tcPr>
            <w:tcW w:w="881" w:type="dxa"/>
          </w:tcPr>
          <w:p w14:paraId="52A5EF27"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80</w:t>
            </w:r>
          </w:p>
        </w:tc>
        <w:tc>
          <w:tcPr>
            <w:tcW w:w="1328" w:type="dxa"/>
          </w:tcPr>
          <w:p w14:paraId="52A5EF28"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81</w:t>
            </w:r>
          </w:p>
        </w:tc>
        <w:tc>
          <w:tcPr>
            <w:tcW w:w="3392" w:type="dxa"/>
          </w:tcPr>
          <w:p w14:paraId="52A5EF29" w14:textId="77777777" w:rsidR="001142E9" w:rsidRDefault="002B3BB7">
            <w:pPr>
              <w:contextualSpacing/>
              <w:rPr>
                <w:rFonts w:ascii="Arial" w:hAnsi="Arial" w:cs="Arial"/>
                <w:sz w:val="22"/>
                <w:szCs w:val="22"/>
              </w:rPr>
            </w:pPr>
            <w:r>
              <w:rPr>
                <w:rFonts w:ascii="Arial" w:eastAsia="Aptos" w:hAnsi="Arial" w:cs="Arial"/>
                <w:sz w:val="22"/>
                <w:szCs w:val="22"/>
              </w:rPr>
              <w:t xml:space="preserve">Preceding the engagement of reflective analysis concerning aspects of practice, student teachers are able to consider the possibilities for future action by questioning existing practice and considering how this may influence future practices. </w:t>
            </w:r>
          </w:p>
          <w:p w14:paraId="52A5EF2A" w14:textId="77777777" w:rsidR="001142E9" w:rsidRDefault="001142E9">
            <w:pPr>
              <w:spacing w:after="0" w:line="240" w:lineRule="auto"/>
              <w:contextualSpacing/>
              <w:rPr>
                <w:rFonts w:ascii="Arial" w:hAnsi="Arial" w:cs="Arial"/>
                <w:color w:val="000000"/>
                <w:sz w:val="22"/>
                <w:szCs w:val="22"/>
              </w:rPr>
            </w:pPr>
          </w:p>
        </w:tc>
        <w:tc>
          <w:tcPr>
            <w:tcW w:w="3399" w:type="dxa"/>
          </w:tcPr>
          <w:p w14:paraId="52A5EF2B" w14:textId="77777777" w:rsidR="001142E9" w:rsidRDefault="002B3BB7">
            <w:pPr>
              <w:contextualSpacing/>
              <w:rPr>
                <w:rFonts w:ascii="Arial" w:hAnsi="Arial" w:cs="Arial"/>
                <w:sz w:val="22"/>
                <w:szCs w:val="22"/>
              </w:rPr>
            </w:pPr>
            <w:r>
              <w:rPr>
                <w:rFonts w:ascii="Arial" w:eastAsia="Aptos" w:hAnsi="Arial" w:cs="Arial"/>
                <w:sz w:val="22"/>
                <w:szCs w:val="22"/>
              </w:rPr>
              <w:t>Following the reflective analysis of personal practice, they consider and reflect upon possibilities for future action by questioning how they might do things differently and try this out in their future teaching.</w:t>
            </w:r>
          </w:p>
          <w:p w14:paraId="52A5EF2C" w14:textId="77777777" w:rsidR="001142E9" w:rsidRDefault="001142E9">
            <w:pPr>
              <w:spacing w:after="0" w:line="240" w:lineRule="auto"/>
              <w:contextualSpacing/>
              <w:rPr>
                <w:rFonts w:ascii="Arial" w:hAnsi="Arial" w:cs="Arial"/>
                <w:color w:val="000000"/>
                <w:sz w:val="22"/>
                <w:szCs w:val="22"/>
              </w:rPr>
            </w:pPr>
          </w:p>
        </w:tc>
        <w:tc>
          <w:tcPr>
            <w:tcW w:w="1960" w:type="dxa"/>
          </w:tcPr>
          <w:p w14:paraId="52A5EF2D"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text/close paraphrase</w:t>
            </w:r>
          </w:p>
        </w:tc>
        <w:tc>
          <w:tcPr>
            <w:tcW w:w="2987" w:type="dxa"/>
          </w:tcPr>
          <w:p w14:paraId="52A5EF2E"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Paraphrase includes ‘Following the reflective analysis of personal practice’ becomes ‘Preceding the engagement of reflective analysis concerning aspects of practice’</w:t>
            </w:r>
          </w:p>
        </w:tc>
      </w:tr>
      <w:tr w:rsidR="001142E9" w14:paraId="52A5EF3A" w14:textId="77777777">
        <w:tc>
          <w:tcPr>
            <w:tcW w:w="881" w:type="dxa"/>
          </w:tcPr>
          <w:p w14:paraId="52A5EF30"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80</w:t>
            </w:r>
          </w:p>
        </w:tc>
        <w:tc>
          <w:tcPr>
            <w:tcW w:w="1328" w:type="dxa"/>
          </w:tcPr>
          <w:p w14:paraId="52A5EF31"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81</w:t>
            </w:r>
          </w:p>
        </w:tc>
        <w:tc>
          <w:tcPr>
            <w:tcW w:w="3392" w:type="dxa"/>
          </w:tcPr>
          <w:p w14:paraId="52A5EF32" w14:textId="77777777" w:rsidR="001142E9" w:rsidRDefault="002B3BB7">
            <w:pPr>
              <w:contextualSpacing/>
              <w:rPr>
                <w:rFonts w:ascii="Arial" w:hAnsi="Arial" w:cs="Arial"/>
                <w:sz w:val="22"/>
                <w:szCs w:val="22"/>
              </w:rPr>
            </w:pPr>
            <w:r>
              <w:rPr>
                <w:rFonts w:ascii="Arial" w:eastAsia="Aptos" w:hAnsi="Arial" w:cs="Arial"/>
                <w:sz w:val="22"/>
                <w:szCs w:val="22"/>
              </w:rPr>
              <w:t>Formative evaluation is a fundamental component of teacher research, particularly through interpretivist and action research paradigms, where arguably, the central aim for student teachers’ is focused on ways to capture professional experiential learning by conceptualising and reflecting on aspects of their own practice.</w:t>
            </w:r>
          </w:p>
          <w:p w14:paraId="52A5EF33" w14:textId="77777777" w:rsidR="001142E9" w:rsidRDefault="001142E9">
            <w:pPr>
              <w:spacing w:after="0" w:line="240" w:lineRule="auto"/>
              <w:contextualSpacing/>
              <w:rPr>
                <w:rFonts w:ascii="Arial" w:hAnsi="Arial" w:cs="Arial"/>
                <w:color w:val="000000"/>
                <w:sz w:val="22"/>
                <w:szCs w:val="22"/>
              </w:rPr>
            </w:pPr>
          </w:p>
        </w:tc>
        <w:tc>
          <w:tcPr>
            <w:tcW w:w="3399" w:type="dxa"/>
          </w:tcPr>
          <w:p w14:paraId="52A5EF34"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Formative evaluation is a fundamental component of teacher research and arguably, one goal for student teachers to realise would be to capture “this way of being‟ in their professional lives as they ask searching questions about their own practice.</w:t>
            </w:r>
          </w:p>
        </w:tc>
        <w:tc>
          <w:tcPr>
            <w:tcW w:w="1960" w:type="dxa"/>
          </w:tcPr>
          <w:p w14:paraId="52A5EF35"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text/close paraphrase</w:t>
            </w:r>
          </w:p>
        </w:tc>
        <w:tc>
          <w:tcPr>
            <w:tcW w:w="2987" w:type="dxa"/>
          </w:tcPr>
          <w:p w14:paraId="52A5EF36" w14:textId="77777777" w:rsidR="001142E9" w:rsidRDefault="001142E9">
            <w:pPr>
              <w:spacing w:after="0" w:line="240" w:lineRule="auto"/>
              <w:contextualSpacing/>
              <w:rPr>
                <w:rFonts w:ascii="Arial" w:eastAsia="Aptos" w:hAnsi="Arial" w:cs="Arial"/>
                <w:sz w:val="22"/>
                <w:szCs w:val="22"/>
              </w:rPr>
            </w:pPr>
          </w:p>
          <w:p w14:paraId="52A5EF37" w14:textId="77777777" w:rsidR="001142E9" w:rsidRDefault="001142E9">
            <w:pPr>
              <w:spacing w:after="0" w:line="240" w:lineRule="auto"/>
              <w:contextualSpacing/>
              <w:rPr>
                <w:rFonts w:ascii="Arial" w:eastAsia="Aptos" w:hAnsi="Arial" w:cs="Arial"/>
                <w:sz w:val="22"/>
                <w:szCs w:val="22"/>
              </w:rPr>
            </w:pPr>
          </w:p>
          <w:p w14:paraId="52A5EF38" w14:textId="77777777" w:rsidR="001142E9" w:rsidRDefault="002B3BB7">
            <w:pPr>
              <w:spacing w:after="0" w:line="240" w:lineRule="auto"/>
              <w:contextualSpacing/>
              <w:rPr>
                <w:rFonts w:ascii="Arial" w:eastAsia="Aptos" w:hAnsi="Arial" w:cs="Arial"/>
                <w:sz w:val="22"/>
                <w:szCs w:val="22"/>
              </w:rPr>
            </w:pPr>
            <w:r>
              <w:rPr>
                <w:rFonts w:ascii="Arial" w:eastAsia="Aptos" w:hAnsi="Arial" w:cs="Arial"/>
                <w:sz w:val="22"/>
                <w:szCs w:val="22"/>
              </w:rPr>
              <w:t>‘</w:t>
            </w:r>
            <w:r>
              <w:rPr>
                <w:rFonts w:ascii="Arial" w:hAnsi="Arial" w:cs="Arial"/>
                <w:sz w:val="22"/>
                <w:szCs w:val="22"/>
              </w:rPr>
              <w:t>capture “this way of being‟ in their professional lives’ becomes ‘capture professional experiential learning’; ‘ask searching questions about their own practice’ in Z-M becomes ‘conceptualising and reflecting on aspects of their own practice.</w:t>
            </w:r>
          </w:p>
          <w:p w14:paraId="52A5EF39" w14:textId="77777777" w:rsidR="001142E9" w:rsidRDefault="001142E9">
            <w:pPr>
              <w:spacing w:after="0" w:line="240" w:lineRule="auto"/>
              <w:contextualSpacing/>
              <w:rPr>
                <w:rFonts w:ascii="Arial" w:eastAsia="Aptos" w:hAnsi="Arial" w:cs="Arial"/>
                <w:sz w:val="22"/>
                <w:szCs w:val="22"/>
              </w:rPr>
            </w:pPr>
          </w:p>
        </w:tc>
      </w:tr>
      <w:tr w:rsidR="001142E9" w14:paraId="52A5EF52" w14:textId="77777777">
        <w:tc>
          <w:tcPr>
            <w:tcW w:w="881" w:type="dxa"/>
          </w:tcPr>
          <w:p w14:paraId="52A5EF3B"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80</w:t>
            </w:r>
          </w:p>
        </w:tc>
        <w:tc>
          <w:tcPr>
            <w:tcW w:w="1328" w:type="dxa"/>
          </w:tcPr>
          <w:p w14:paraId="52A5EF3C"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82</w:t>
            </w:r>
          </w:p>
        </w:tc>
        <w:tc>
          <w:tcPr>
            <w:tcW w:w="3392" w:type="dxa"/>
          </w:tcPr>
          <w:p w14:paraId="52A5EF3D" w14:textId="77777777" w:rsidR="001142E9" w:rsidRDefault="002B3BB7">
            <w:pPr>
              <w:contextualSpacing/>
              <w:rPr>
                <w:rFonts w:ascii="Arial" w:hAnsi="Arial" w:cs="Arial"/>
                <w:sz w:val="22"/>
                <w:szCs w:val="22"/>
              </w:rPr>
            </w:pPr>
            <w:r>
              <w:rPr>
                <w:rFonts w:ascii="Arial" w:eastAsia="Aptos" w:hAnsi="Arial" w:cs="Arial"/>
                <w:sz w:val="22"/>
                <w:szCs w:val="22"/>
              </w:rPr>
              <w:t xml:space="preserve">Importantly, the capacity for student teachers to become reflective practitioners and autonomous teachers that take responsibility for their own professional development is prevalent not only in the governments’ agenda but also within teacher training and the professional landscape generally. </w:t>
            </w:r>
          </w:p>
          <w:p w14:paraId="52A5EF3E" w14:textId="77777777" w:rsidR="001142E9" w:rsidRDefault="002B3BB7">
            <w:pPr>
              <w:contextualSpacing/>
              <w:rPr>
                <w:rFonts w:ascii="Arial" w:hAnsi="Arial" w:cs="Arial"/>
                <w:sz w:val="22"/>
                <w:szCs w:val="22"/>
              </w:rPr>
            </w:pPr>
            <w:r>
              <w:rPr>
                <w:rFonts w:ascii="Arial" w:eastAsia="Aptos" w:hAnsi="Arial" w:cs="Arial"/>
                <w:sz w:val="22"/>
                <w:szCs w:val="22"/>
              </w:rPr>
              <w:t xml:space="preserve">The evolvement of reflective practice has become ‘a generic pedagogical principle’ (Tsangaridou and O’Sullivan, 1997) within initial teacher education, where such procedures are immersed and embedded through initial teacher training (ITT) programmes of study, in attempting to cultivate pedagogical development. </w:t>
            </w:r>
          </w:p>
          <w:p w14:paraId="52A5EF3F" w14:textId="77777777" w:rsidR="001142E9" w:rsidRDefault="001142E9">
            <w:pPr>
              <w:contextualSpacing/>
              <w:rPr>
                <w:rFonts w:ascii="Arial" w:hAnsi="Arial" w:cs="Arial"/>
                <w:sz w:val="22"/>
                <w:szCs w:val="22"/>
              </w:rPr>
            </w:pPr>
          </w:p>
          <w:p w14:paraId="52A5EF40" w14:textId="77777777" w:rsidR="001142E9" w:rsidRDefault="001142E9">
            <w:pPr>
              <w:contextualSpacing/>
              <w:rPr>
                <w:rFonts w:ascii="Arial" w:hAnsi="Arial" w:cs="Arial"/>
                <w:sz w:val="22"/>
                <w:szCs w:val="22"/>
              </w:rPr>
            </w:pPr>
          </w:p>
          <w:p w14:paraId="52A5EF41" w14:textId="77777777" w:rsidR="001142E9" w:rsidRDefault="001142E9">
            <w:pPr>
              <w:contextualSpacing/>
              <w:rPr>
                <w:rFonts w:ascii="Arial" w:hAnsi="Arial" w:cs="Arial"/>
                <w:sz w:val="22"/>
                <w:szCs w:val="22"/>
              </w:rPr>
            </w:pPr>
          </w:p>
          <w:p w14:paraId="52A5EF42" w14:textId="77777777" w:rsidR="001142E9" w:rsidRDefault="001142E9">
            <w:pPr>
              <w:spacing w:after="0" w:line="240" w:lineRule="auto"/>
              <w:contextualSpacing/>
              <w:rPr>
                <w:rFonts w:ascii="Arial" w:hAnsi="Arial" w:cs="Arial"/>
                <w:color w:val="000000"/>
                <w:sz w:val="22"/>
                <w:szCs w:val="22"/>
              </w:rPr>
            </w:pPr>
          </w:p>
        </w:tc>
        <w:tc>
          <w:tcPr>
            <w:tcW w:w="3399" w:type="dxa"/>
          </w:tcPr>
          <w:p w14:paraId="52A5EF43" w14:textId="77777777" w:rsidR="001142E9" w:rsidRDefault="002B3BB7">
            <w:pPr>
              <w:contextualSpacing/>
              <w:rPr>
                <w:rFonts w:ascii="Arial" w:hAnsi="Arial" w:cs="Arial"/>
                <w:sz w:val="22"/>
                <w:szCs w:val="22"/>
              </w:rPr>
            </w:pPr>
            <w:r>
              <w:rPr>
                <w:rFonts w:ascii="Arial" w:eastAsia="Aptos" w:hAnsi="Arial" w:cs="Arial"/>
                <w:sz w:val="22"/>
                <w:szCs w:val="22"/>
              </w:rPr>
              <w:t xml:space="preserve">The notion that student teachers should strive to become reflective practitioners and take responsibility for their own professional development is prevalent not only in the governments‟ agenda but has also been advanced by scholars, teacher educators and practising teachers for many decades. </w:t>
            </w:r>
          </w:p>
          <w:p w14:paraId="52A5EF44" w14:textId="77777777" w:rsidR="001142E9" w:rsidRDefault="002B3BB7">
            <w:pPr>
              <w:contextualSpacing/>
              <w:rPr>
                <w:rFonts w:ascii="Arial" w:hAnsi="Arial" w:cs="Arial"/>
                <w:sz w:val="22"/>
                <w:szCs w:val="22"/>
              </w:rPr>
            </w:pPr>
            <w:r>
              <w:rPr>
                <w:rFonts w:ascii="Arial" w:eastAsia="Aptos" w:hAnsi="Arial" w:cs="Arial"/>
                <w:sz w:val="22"/>
                <w:szCs w:val="22"/>
              </w:rPr>
              <w:t>The development of reflective practice has become „a generic pedagogical principle‟ (Tsangaridou and O‟Sullivan, 1997) in initial teacher education wherein strategies are woven into programmes from diverse theoretical traditions to nurture and cultivate its development.</w:t>
            </w:r>
          </w:p>
          <w:p w14:paraId="52A5EF45" w14:textId="77777777" w:rsidR="001142E9" w:rsidRDefault="001142E9">
            <w:pPr>
              <w:contextualSpacing/>
              <w:rPr>
                <w:rFonts w:ascii="Arial" w:hAnsi="Arial" w:cs="Arial"/>
                <w:sz w:val="22"/>
                <w:szCs w:val="22"/>
              </w:rPr>
            </w:pPr>
          </w:p>
          <w:p w14:paraId="52A5EF46" w14:textId="77777777" w:rsidR="001142E9" w:rsidRDefault="001142E9">
            <w:pPr>
              <w:spacing w:after="0" w:line="240" w:lineRule="auto"/>
              <w:contextualSpacing/>
              <w:rPr>
                <w:rFonts w:ascii="Arial" w:hAnsi="Arial" w:cs="Arial"/>
                <w:color w:val="000000"/>
                <w:sz w:val="22"/>
                <w:szCs w:val="22"/>
              </w:rPr>
            </w:pPr>
          </w:p>
        </w:tc>
        <w:tc>
          <w:tcPr>
            <w:tcW w:w="1960" w:type="dxa"/>
          </w:tcPr>
          <w:p w14:paraId="52A5EF47"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 xml:space="preserve">Verbatim text/close paraphrase, use of identical references to Z-M </w:t>
            </w:r>
          </w:p>
        </w:tc>
        <w:tc>
          <w:tcPr>
            <w:tcW w:w="2987" w:type="dxa"/>
          </w:tcPr>
          <w:p w14:paraId="52A5EF48"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Tsangaridou and O‟Sullivan, 1997 cited in discussion of ITT by Z-M, also discussed by Arday.</w:t>
            </w:r>
          </w:p>
          <w:p w14:paraId="52A5EF49" w14:textId="77777777" w:rsidR="001142E9" w:rsidRDefault="001142E9">
            <w:pPr>
              <w:spacing w:after="0" w:line="240" w:lineRule="auto"/>
              <w:contextualSpacing/>
              <w:rPr>
                <w:rFonts w:ascii="Arial" w:hAnsi="Arial" w:cs="Arial"/>
                <w:sz w:val="22"/>
                <w:szCs w:val="22"/>
              </w:rPr>
            </w:pPr>
          </w:p>
          <w:p w14:paraId="52A5EF4A" w14:textId="77777777" w:rsidR="001142E9" w:rsidRDefault="002B3BB7">
            <w:pPr>
              <w:contextualSpacing/>
              <w:rPr>
                <w:rFonts w:ascii="Arial" w:hAnsi="Arial" w:cs="Arial"/>
                <w:sz w:val="22"/>
                <w:szCs w:val="22"/>
              </w:rPr>
            </w:pPr>
            <w:r>
              <w:rPr>
                <w:rFonts w:ascii="Arial" w:eastAsia="Aptos" w:hAnsi="Arial" w:cs="Arial"/>
                <w:sz w:val="22"/>
                <w:szCs w:val="22"/>
              </w:rPr>
              <w:t>‘</w:t>
            </w:r>
            <w:r>
              <w:rPr>
                <w:rFonts w:ascii="Arial" w:eastAsia="Aptos" w:hAnsi="Arial" w:cs="Arial"/>
                <w:sz w:val="22"/>
                <w:szCs w:val="22"/>
              </w:rPr>
              <w:t>scholars, teacher educators and practising teachers’ becomes ‘teacher training and the professional landscape generally’</w:t>
            </w:r>
          </w:p>
          <w:p w14:paraId="52A5EF4B" w14:textId="77777777" w:rsidR="001142E9" w:rsidRDefault="002B3BB7">
            <w:pPr>
              <w:spacing w:after="0" w:line="240" w:lineRule="auto"/>
              <w:contextualSpacing/>
              <w:rPr>
                <w:rFonts w:ascii="Arial" w:eastAsia="Aptos" w:hAnsi="Arial" w:cs="Arial"/>
                <w:sz w:val="22"/>
                <w:szCs w:val="22"/>
              </w:rPr>
            </w:pPr>
            <w:r>
              <w:rPr>
                <w:rFonts w:ascii="Arial" w:eastAsia="Aptos" w:hAnsi="Arial" w:cs="Arial"/>
                <w:sz w:val="22"/>
                <w:szCs w:val="22"/>
              </w:rPr>
              <w:t>‘</w:t>
            </w:r>
          </w:p>
          <w:p w14:paraId="52A5EF4C" w14:textId="77777777" w:rsidR="001142E9" w:rsidRDefault="001142E9">
            <w:pPr>
              <w:spacing w:after="0" w:line="240" w:lineRule="auto"/>
              <w:contextualSpacing/>
              <w:rPr>
                <w:rFonts w:ascii="Arial" w:eastAsia="Aptos" w:hAnsi="Arial" w:cs="Arial"/>
                <w:sz w:val="22"/>
                <w:szCs w:val="22"/>
              </w:rPr>
            </w:pPr>
          </w:p>
          <w:p w14:paraId="52A5EF4D" w14:textId="77777777" w:rsidR="001142E9" w:rsidRDefault="001142E9">
            <w:pPr>
              <w:spacing w:after="0" w:line="240" w:lineRule="auto"/>
              <w:contextualSpacing/>
              <w:rPr>
                <w:rFonts w:ascii="Arial" w:eastAsia="Aptos" w:hAnsi="Arial" w:cs="Arial"/>
                <w:sz w:val="22"/>
                <w:szCs w:val="22"/>
              </w:rPr>
            </w:pPr>
          </w:p>
          <w:p w14:paraId="52A5EF4E" w14:textId="77777777" w:rsidR="001142E9" w:rsidRDefault="001142E9">
            <w:pPr>
              <w:spacing w:after="0" w:line="240" w:lineRule="auto"/>
              <w:contextualSpacing/>
              <w:rPr>
                <w:rFonts w:ascii="Arial" w:eastAsia="Aptos" w:hAnsi="Arial" w:cs="Arial"/>
                <w:sz w:val="22"/>
                <w:szCs w:val="22"/>
              </w:rPr>
            </w:pPr>
          </w:p>
          <w:p w14:paraId="52A5EF4F" w14:textId="77777777" w:rsidR="001142E9" w:rsidRDefault="001142E9">
            <w:pPr>
              <w:spacing w:after="0" w:line="240" w:lineRule="auto"/>
              <w:contextualSpacing/>
              <w:rPr>
                <w:rFonts w:ascii="Arial" w:eastAsia="Aptos" w:hAnsi="Arial" w:cs="Arial"/>
                <w:sz w:val="22"/>
                <w:szCs w:val="22"/>
              </w:rPr>
            </w:pPr>
          </w:p>
          <w:p w14:paraId="52A5EF50" w14:textId="77777777" w:rsidR="001142E9" w:rsidRDefault="001142E9">
            <w:pPr>
              <w:spacing w:after="0" w:line="240" w:lineRule="auto"/>
              <w:contextualSpacing/>
              <w:rPr>
                <w:rFonts w:ascii="Arial" w:eastAsia="Aptos" w:hAnsi="Arial" w:cs="Arial"/>
                <w:sz w:val="22"/>
                <w:szCs w:val="22"/>
              </w:rPr>
            </w:pPr>
          </w:p>
          <w:p w14:paraId="52A5EF51" w14:textId="77777777" w:rsidR="001142E9" w:rsidRDefault="002B3BB7">
            <w:pPr>
              <w:spacing w:after="0" w:line="240" w:lineRule="auto"/>
              <w:contextualSpacing/>
              <w:rPr>
                <w:rFonts w:ascii="Arial" w:eastAsia="Aptos" w:hAnsi="Arial" w:cs="Arial"/>
                <w:sz w:val="22"/>
                <w:szCs w:val="22"/>
              </w:rPr>
            </w:pPr>
            <w:r>
              <w:rPr>
                <w:rFonts w:ascii="Arial" w:eastAsia="Aptos" w:hAnsi="Arial" w:cs="Arial"/>
                <w:sz w:val="22"/>
                <w:szCs w:val="22"/>
              </w:rPr>
              <w:t>‘strategies’ becomes ‘procedures; ‘woven into’ becomes ‘immersed and embedded through’</w:t>
            </w:r>
          </w:p>
        </w:tc>
      </w:tr>
      <w:tr w:rsidR="001142E9" w14:paraId="52A5EF66" w14:textId="77777777">
        <w:tc>
          <w:tcPr>
            <w:tcW w:w="881" w:type="dxa"/>
          </w:tcPr>
          <w:p w14:paraId="52A5EF53"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81</w:t>
            </w:r>
          </w:p>
        </w:tc>
        <w:tc>
          <w:tcPr>
            <w:tcW w:w="1328" w:type="dxa"/>
          </w:tcPr>
          <w:p w14:paraId="52A5EF54" w14:textId="77777777" w:rsidR="001142E9" w:rsidRDefault="002B3BB7">
            <w:pPr>
              <w:spacing w:after="0" w:line="240" w:lineRule="auto"/>
              <w:contextualSpacing/>
              <w:rPr>
                <w:rFonts w:ascii="Arial" w:hAnsi="Arial" w:cs="Arial"/>
                <w:color w:val="000000"/>
                <w:sz w:val="22"/>
                <w:szCs w:val="22"/>
              </w:rPr>
            </w:pPr>
            <w:r>
              <w:rPr>
                <w:rFonts w:ascii="Arial" w:eastAsia="Aptos" w:hAnsi="Arial" w:cs="Arial"/>
                <w:sz w:val="22"/>
                <w:szCs w:val="22"/>
              </w:rPr>
              <w:t>82</w:t>
            </w:r>
          </w:p>
        </w:tc>
        <w:tc>
          <w:tcPr>
            <w:tcW w:w="3392" w:type="dxa"/>
          </w:tcPr>
          <w:p w14:paraId="52A5EF55" w14:textId="77777777" w:rsidR="001142E9" w:rsidRDefault="002B3BB7">
            <w:pPr>
              <w:contextualSpacing/>
              <w:rPr>
                <w:rFonts w:ascii="Arial" w:hAnsi="Arial" w:cs="Arial"/>
                <w:sz w:val="22"/>
                <w:szCs w:val="22"/>
              </w:rPr>
            </w:pPr>
            <w:r>
              <w:rPr>
                <w:rFonts w:ascii="Arial" w:eastAsia="Aptos" w:hAnsi="Arial" w:cs="Arial"/>
                <w:sz w:val="22"/>
                <w:szCs w:val="22"/>
              </w:rPr>
              <w:t xml:space="preserve">The reflective literature presented highlights aspects of teaching, which advocates that student teacher development should be focused on personal and pedagogical fulfilment. However, an issue considered problematic within academic discourse concerning reflection, illuminates a dearth of empirical evidence to support theoretical propositions regarding the potency of reflection in developing teaching practice. </w:t>
            </w:r>
          </w:p>
          <w:p w14:paraId="52A5EF56" w14:textId="77777777" w:rsidR="001142E9" w:rsidRDefault="001142E9">
            <w:pPr>
              <w:spacing w:after="0" w:line="240" w:lineRule="auto"/>
              <w:contextualSpacing/>
              <w:rPr>
                <w:rFonts w:ascii="Arial" w:hAnsi="Arial" w:cs="Arial"/>
                <w:color w:val="000000"/>
                <w:sz w:val="22"/>
                <w:szCs w:val="22"/>
              </w:rPr>
            </w:pPr>
          </w:p>
        </w:tc>
        <w:tc>
          <w:tcPr>
            <w:tcW w:w="3399" w:type="dxa"/>
          </w:tcPr>
          <w:p w14:paraId="52A5EF57" w14:textId="77777777" w:rsidR="001142E9" w:rsidRDefault="002B3BB7">
            <w:pPr>
              <w:contextualSpacing/>
              <w:rPr>
                <w:rFonts w:ascii="Arial" w:hAnsi="Arial" w:cs="Arial"/>
                <w:sz w:val="22"/>
                <w:szCs w:val="22"/>
              </w:rPr>
            </w:pPr>
            <w:r>
              <w:rPr>
                <w:rFonts w:ascii="Arial" w:eastAsia="Aptos" w:hAnsi="Arial" w:cs="Arial"/>
                <w:sz w:val="22"/>
                <w:szCs w:val="22"/>
              </w:rPr>
              <w:t xml:space="preserve">The literature highlights aspects of teaching, which proponents of student teacher development advocate should provide the focus and content of student teachers” reflections, </w:t>
            </w:r>
          </w:p>
          <w:p w14:paraId="52A5EF58" w14:textId="77777777" w:rsidR="001142E9" w:rsidRDefault="001142E9">
            <w:pPr>
              <w:contextualSpacing/>
              <w:rPr>
                <w:rFonts w:ascii="Arial" w:hAnsi="Arial" w:cs="Arial"/>
                <w:sz w:val="22"/>
                <w:szCs w:val="22"/>
              </w:rPr>
            </w:pPr>
          </w:p>
          <w:p w14:paraId="52A5EF59" w14:textId="77777777" w:rsidR="001142E9" w:rsidRDefault="001142E9">
            <w:pPr>
              <w:contextualSpacing/>
              <w:rPr>
                <w:rFonts w:ascii="Arial" w:hAnsi="Arial" w:cs="Arial"/>
                <w:sz w:val="22"/>
                <w:szCs w:val="22"/>
              </w:rPr>
            </w:pPr>
          </w:p>
          <w:p w14:paraId="52A5EF5A" w14:textId="77777777" w:rsidR="001142E9" w:rsidRDefault="001142E9">
            <w:pPr>
              <w:contextualSpacing/>
              <w:rPr>
                <w:rFonts w:ascii="Arial" w:hAnsi="Arial" w:cs="Arial"/>
                <w:sz w:val="22"/>
                <w:szCs w:val="22"/>
              </w:rPr>
            </w:pPr>
          </w:p>
          <w:p w14:paraId="52A5EF5B" w14:textId="77777777" w:rsidR="001142E9" w:rsidRDefault="002B3BB7">
            <w:pPr>
              <w:contextualSpacing/>
              <w:rPr>
                <w:rFonts w:ascii="Arial" w:hAnsi="Arial" w:cs="Arial"/>
                <w:sz w:val="22"/>
                <w:szCs w:val="22"/>
              </w:rPr>
            </w:pPr>
            <w:r>
              <w:rPr>
                <w:rFonts w:ascii="Arial" w:eastAsia="Aptos" w:hAnsi="Arial" w:cs="Arial"/>
                <w:sz w:val="22"/>
                <w:szCs w:val="22"/>
              </w:rPr>
              <w:t xml:space="preserve">yet empirical evidence to support many theoretical propositions is exceedingly limited. </w:t>
            </w:r>
          </w:p>
          <w:p w14:paraId="52A5EF5C" w14:textId="77777777" w:rsidR="001142E9" w:rsidRDefault="001142E9">
            <w:pPr>
              <w:spacing w:after="0" w:line="240" w:lineRule="auto"/>
              <w:contextualSpacing/>
              <w:rPr>
                <w:rFonts w:ascii="Arial" w:hAnsi="Arial" w:cs="Arial"/>
                <w:color w:val="000000"/>
                <w:sz w:val="22"/>
                <w:szCs w:val="22"/>
              </w:rPr>
            </w:pPr>
          </w:p>
        </w:tc>
        <w:tc>
          <w:tcPr>
            <w:tcW w:w="1960" w:type="dxa"/>
          </w:tcPr>
          <w:p w14:paraId="52A5EF5D"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Verbatim text/close paraphrase,</w:t>
            </w:r>
          </w:p>
        </w:tc>
        <w:tc>
          <w:tcPr>
            <w:tcW w:w="2987" w:type="dxa"/>
          </w:tcPr>
          <w:p w14:paraId="52A5EF5E" w14:textId="77777777" w:rsidR="001142E9" w:rsidRDefault="002B3BB7">
            <w:pPr>
              <w:spacing w:after="0" w:line="240" w:lineRule="auto"/>
              <w:contextualSpacing/>
              <w:rPr>
                <w:rFonts w:ascii="Arial" w:eastAsia="Aptos" w:hAnsi="Arial" w:cs="Arial"/>
                <w:sz w:val="22"/>
                <w:szCs w:val="22"/>
              </w:rPr>
            </w:pPr>
            <w:r>
              <w:rPr>
                <w:rFonts w:ascii="Arial" w:eastAsia="Aptos" w:hAnsi="Arial" w:cs="Arial"/>
                <w:sz w:val="22"/>
                <w:szCs w:val="22"/>
              </w:rPr>
              <w:t xml:space="preserve">Paraphrases included: </w:t>
            </w:r>
          </w:p>
          <w:p w14:paraId="52A5EF5F" w14:textId="77777777" w:rsidR="001142E9" w:rsidRDefault="001142E9">
            <w:pPr>
              <w:spacing w:after="0" w:line="240" w:lineRule="auto"/>
              <w:contextualSpacing/>
              <w:rPr>
                <w:rFonts w:ascii="Arial" w:eastAsia="Aptos" w:hAnsi="Arial" w:cs="Arial"/>
                <w:sz w:val="22"/>
                <w:szCs w:val="22"/>
              </w:rPr>
            </w:pPr>
          </w:p>
          <w:p w14:paraId="52A5EF60" w14:textId="77777777" w:rsidR="001142E9" w:rsidRDefault="001142E9">
            <w:pPr>
              <w:spacing w:after="0" w:line="240" w:lineRule="auto"/>
              <w:contextualSpacing/>
              <w:rPr>
                <w:rFonts w:ascii="Arial" w:eastAsia="Aptos" w:hAnsi="Arial" w:cs="Arial"/>
                <w:sz w:val="22"/>
                <w:szCs w:val="22"/>
              </w:rPr>
            </w:pPr>
          </w:p>
          <w:p w14:paraId="52A5EF61"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‘focus and content of student teachers” reflections’ in Z-M becomes ‘focused on personal and pedagogical fulfilment‘</w:t>
            </w:r>
          </w:p>
          <w:p w14:paraId="52A5EF62" w14:textId="77777777" w:rsidR="001142E9" w:rsidRDefault="001142E9">
            <w:pPr>
              <w:spacing w:after="0" w:line="240" w:lineRule="auto"/>
              <w:contextualSpacing/>
              <w:rPr>
                <w:rFonts w:ascii="Arial" w:hAnsi="Arial" w:cs="Arial"/>
                <w:sz w:val="22"/>
                <w:szCs w:val="22"/>
              </w:rPr>
            </w:pPr>
          </w:p>
          <w:p w14:paraId="52A5EF63" w14:textId="77777777" w:rsidR="001142E9" w:rsidRDefault="001142E9">
            <w:pPr>
              <w:spacing w:after="0" w:line="240" w:lineRule="auto"/>
              <w:contextualSpacing/>
              <w:rPr>
                <w:rFonts w:ascii="Arial" w:hAnsi="Arial" w:cs="Arial"/>
                <w:sz w:val="22"/>
                <w:szCs w:val="22"/>
              </w:rPr>
            </w:pPr>
          </w:p>
          <w:p w14:paraId="52A5EF64" w14:textId="77777777" w:rsidR="001142E9" w:rsidRDefault="001142E9">
            <w:pPr>
              <w:spacing w:after="0" w:line="240" w:lineRule="auto"/>
              <w:contextualSpacing/>
              <w:rPr>
                <w:rFonts w:ascii="Arial" w:hAnsi="Arial" w:cs="Arial"/>
                <w:sz w:val="22"/>
                <w:szCs w:val="22"/>
              </w:rPr>
            </w:pPr>
          </w:p>
          <w:p w14:paraId="52A5EF65"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‘exceedingly limited’ becomes ‘dearth of’</w:t>
            </w:r>
          </w:p>
        </w:tc>
      </w:tr>
      <w:tr w:rsidR="001142E9" w14:paraId="52A5EF74" w14:textId="77777777">
        <w:tc>
          <w:tcPr>
            <w:tcW w:w="881" w:type="dxa"/>
          </w:tcPr>
          <w:p w14:paraId="52A5EF67"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81</w:t>
            </w:r>
          </w:p>
        </w:tc>
        <w:tc>
          <w:tcPr>
            <w:tcW w:w="1328" w:type="dxa"/>
          </w:tcPr>
          <w:p w14:paraId="52A5EF68"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82</w:t>
            </w:r>
          </w:p>
        </w:tc>
        <w:tc>
          <w:tcPr>
            <w:tcW w:w="3392" w:type="dxa"/>
          </w:tcPr>
          <w:p w14:paraId="52A5EF69" w14:textId="77777777" w:rsidR="001142E9" w:rsidRDefault="002B3BB7">
            <w:pPr>
              <w:contextualSpacing/>
              <w:rPr>
                <w:rFonts w:ascii="Arial" w:hAnsi="Arial" w:cs="Arial"/>
                <w:sz w:val="22"/>
                <w:szCs w:val="22"/>
              </w:rPr>
            </w:pPr>
            <w:r>
              <w:rPr>
                <w:rFonts w:ascii="Arial" w:eastAsia="Aptos" w:hAnsi="Arial" w:cs="Arial"/>
                <w:sz w:val="22"/>
                <w:szCs w:val="22"/>
              </w:rPr>
              <w:t>While the literature presented supports the potency and effectiveness of reflection, in addition to developing student teachers’ reflective capabilities and dispositions through a variation of approaches in order to frame learning; there remains a paucity of recent knowledge within educational research literature concerning the impact that such strategies have upon informing aspects of collaborative learning among student teachers to develop professionally.</w:t>
            </w:r>
          </w:p>
          <w:p w14:paraId="52A5EF6A" w14:textId="77777777" w:rsidR="001142E9" w:rsidRDefault="001142E9">
            <w:pPr>
              <w:contextualSpacing/>
              <w:rPr>
                <w:rFonts w:ascii="Arial" w:hAnsi="Arial" w:cs="Arial"/>
                <w:sz w:val="22"/>
                <w:szCs w:val="22"/>
              </w:rPr>
            </w:pPr>
          </w:p>
        </w:tc>
        <w:tc>
          <w:tcPr>
            <w:tcW w:w="3399" w:type="dxa"/>
          </w:tcPr>
          <w:p w14:paraId="52A5EF6B" w14:textId="77777777" w:rsidR="001142E9" w:rsidRDefault="002B3BB7">
            <w:pPr>
              <w:contextualSpacing/>
              <w:rPr>
                <w:rFonts w:ascii="Arial" w:hAnsi="Arial" w:cs="Arial"/>
                <w:sz w:val="22"/>
                <w:szCs w:val="22"/>
              </w:rPr>
            </w:pPr>
            <w:r>
              <w:rPr>
                <w:rFonts w:ascii="Arial" w:eastAsia="Aptos" w:hAnsi="Arial" w:cs="Arial"/>
                <w:sz w:val="22"/>
                <w:szCs w:val="22"/>
              </w:rPr>
              <w:t>While this literature champions the usefulness of reflection, in addition to developing student teachers‟ reflective capabilities and predispositions through a range of strategies in order to scaffold their learning, there is a paucity of knowledge in the physical education research literature concerning the impact that strategies drawn upon to promote reflective practice have made to the professional development of student teachers.</w:t>
            </w:r>
          </w:p>
        </w:tc>
        <w:tc>
          <w:tcPr>
            <w:tcW w:w="1960" w:type="dxa"/>
          </w:tcPr>
          <w:p w14:paraId="52A5EF6C"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Verbatim text/close paraphrase,</w:t>
            </w:r>
          </w:p>
        </w:tc>
        <w:tc>
          <w:tcPr>
            <w:tcW w:w="2987" w:type="dxa"/>
          </w:tcPr>
          <w:p w14:paraId="52A5EF6D" w14:textId="77777777" w:rsidR="001142E9" w:rsidRDefault="002B3BB7">
            <w:pPr>
              <w:spacing w:after="0" w:line="240" w:lineRule="auto"/>
              <w:contextualSpacing/>
              <w:rPr>
                <w:rFonts w:ascii="Arial" w:hAnsi="Arial" w:cs="Arial"/>
                <w:sz w:val="22"/>
                <w:szCs w:val="22"/>
              </w:rPr>
            </w:pPr>
            <w:r>
              <w:rPr>
                <w:rFonts w:ascii="Arial" w:eastAsia="Aptos" w:hAnsi="Arial" w:cs="Arial"/>
                <w:sz w:val="22"/>
                <w:szCs w:val="22"/>
              </w:rPr>
              <w:t>Paraphrases include: ‘usefulness of reflection’ in Z-M is rendered as ‘potency and effectiveness of reflection’; ‘scaffold their learning’ becomes ‘frame learning’; ‘predispositions’ becomes ‘dispositions’</w:t>
            </w:r>
          </w:p>
          <w:p w14:paraId="52A5EF6E" w14:textId="77777777" w:rsidR="001142E9" w:rsidRDefault="001142E9">
            <w:pPr>
              <w:spacing w:after="0" w:line="240" w:lineRule="auto"/>
              <w:contextualSpacing/>
              <w:rPr>
                <w:rFonts w:ascii="Arial" w:hAnsi="Arial" w:cs="Arial"/>
                <w:sz w:val="22"/>
                <w:szCs w:val="22"/>
              </w:rPr>
            </w:pPr>
          </w:p>
          <w:p w14:paraId="52A5EF6F" w14:textId="77777777" w:rsidR="001142E9" w:rsidRDefault="001142E9">
            <w:pPr>
              <w:spacing w:after="0" w:line="240" w:lineRule="auto"/>
              <w:contextualSpacing/>
              <w:rPr>
                <w:rFonts w:ascii="Arial" w:hAnsi="Arial" w:cs="Arial"/>
                <w:sz w:val="22"/>
                <w:szCs w:val="22"/>
              </w:rPr>
            </w:pPr>
          </w:p>
          <w:p w14:paraId="52A5EF70" w14:textId="77777777" w:rsidR="001142E9" w:rsidRDefault="001142E9">
            <w:pPr>
              <w:spacing w:after="0" w:line="240" w:lineRule="auto"/>
              <w:contextualSpacing/>
              <w:rPr>
                <w:rFonts w:ascii="Arial" w:hAnsi="Arial" w:cs="Arial"/>
                <w:sz w:val="22"/>
                <w:szCs w:val="22"/>
              </w:rPr>
            </w:pPr>
          </w:p>
          <w:p w14:paraId="52A5EF71" w14:textId="77777777" w:rsidR="001142E9" w:rsidRDefault="001142E9">
            <w:pPr>
              <w:spacing w:after="0" w:line="240" w:lineRule="auto"/>
              <w:contextualSpacing/>
              <w:rPr>
                <w:rFonts w:ascii="Arial" w:hAnsi="Arial" w:cs="Arial"/>
                <w:sz w:val="22"/>
                <w:szCs w:val="22"/>
              </w:rPr>
            </w:pPr>
          </w:p>
          <w:p w14:paraId="52A5EF72" w14:textId="77777777" w:rsidR="001142E9" w:rsidRDefault="001142E9">
            <w:pPr>
              <w:spacing w:after="0" w:line="240" w:lineRule="auto"/>
              <w:contextualSpacing/>
              <w:rPr>
                <w:rFonts w:ascii="Arial" w:hAnsi="Arial" w:cs="Arial"/>
                <w:sz w:val="22"/>
                <w:szCs w:val="22"/>
              </w:rPr>
            </w:pPr>
          </w:p>
          <w:p w14:paraId="52A5EF73" w14:textId="77777777" w:rsidR="001142E9" w:rsidRDefault="002B3BB7">
            <w:pPr>
              <w:spacing w:after="0" w:line="240" w:lineRule="auto"/>
              <w:contextualSpacing/>
              <w:rPr>
                <w:rFonts w:ascii="Arial" w:eastAsia="Aptos" w:hAnsi="Arial" w:cs="Arial"/>
                <w:sz w:val="22"/>
                <w:szCs w:val="22"/>
              </w:rPr>
            </w:pPr>
            <w:r>
              <w:rPr>
                <w:rFonts w:ascii="Arial" w:hAnsi="Arial" w:cs="Arial"/>
                <w:sz w:val="22"/>
                <w:szCs w:val="22"/>
              </w:rPr>
              <w:t>‘promote reflective practice’ becomes ‘informing aspects of collaborative learning’</w:t>
            </w:r>
          </w:p>
        </w:tc>
      </w:tr>
    </w:tbl>
    <w:p w14:paraId="52A5EF75" w14:textId="77777777" w:rsidR="001142E9" w:rsidRDefault="001142E9">
      <w:pPr>
        <w:rPr>
          <w:rFonts w:ascii="Arial" w:hAnsi="Arial" w:cs="Arial"/>
          <w:sz w:val="22"/>
          <w:szCs w:val="22"/>
        </w:rPr>
      </w:pPr>
    </w:p>
    <w:sectPr w:rsidR="001142E9">
      <w:footerReference w:type="default" r:id="rId7"/>
      <w:pgSz w:w="16838" w:h="11906" w:orient="landscape"/>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6ABE1" w14:textId="77777777" w:rsidR="002B3BB7" w:rsidRDefault="002B3BB7">
      <w:pPr>
        <w:spacing w:after="0" w:line="240" w:lineRule="auto"/>
      </w:pPr>
      <w:r>
        <w:separator/>
      </w:r>
    </w:p>
  </w:endnote>
  <w:endnote w:type="continuationSeparator" w:id="0">
    <w:p w14:paraId="379DF0AE" w14:textId="77777777" w:rsidR="002B3BB7" w:rsidRDefault="002B3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ebkit-standard">
    <w:altName w:val="Cambria"/>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835302"/>
      <w:docPartObj>
        <w:docPartGallery w:val="Page Numbers (Bottom of Page)"/>
        <w:docPartUnique/>
      </w:docPartObj>
    </w:sdtPr>
    <w:sdtEndPr/>
    <w:sdtContent>
      <w:p w14:paraId="52A5EF76" w14:textId="77777777" w:rsidR="001142E9" w:rsidRDefault="002B3BB7">
        <w:pPr>
          <w:pStyle w:val="Footer"/>
          <w:jc w:val="center"/>
        </w:pPr>
        <w:r>
          <w:fldChar w:fldCharType="begin"/>
        </w:r>
        <w:r>
          <w:instrText xml:space="preserve"> PAGE </w:instrText>
        </w:r>
        <w:r>
          <w:fldChar w:fldCharType="separate"/>
        </w:r>
        <w:r>
          <w:t>63</w:t>
        </w:r>
        <w:r>
          <w:fldChar w:fldCharType="end"/>
        </w:r>
      </w:p>
    </w:sdtContent>
  </w:sdt>
  <w:p w14:paraId="52A5EF77" w14:textId="77777777" w:rsidR="001142E9" w:rsidRDefault="00114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0230B" w14:textId="77777777" w:rsidR="002B3BB7" w:rsidRDefault="002B3BB7">
      <w:pPr>
        <w:spacing w:after="0" w:line="240" w:lineRule="auto"/>
      </w:pPr>
      <w:r>
        <w:separator/>
      </w:r>
    </w:p>
  </w:footnote>
  <w:footnote w:type="continuationSeparator" w:id="0">
    <w:p w14:paraId="20774B72" w14:textId="77777777" w:rsidR="002B3BB7" w:rsidRDefault="002B3B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2E9"/>
    <w:rsid w:val="00086B27"/>
    <w:rsid w:val="001142E9"/>
    <w:rsid w:val="002B3BB7"/>
    <w:rsid w:val="00856C0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5E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6" w:lineRule="auto"/>
    </w:pPr>
  </w:style>
  <w:style w:type="paragraph" w:styleId="Heading1">
    <w:name w:val="heading 1"/>
    <w:basedOn w:val="Normal"/>
    <w:next w:val="Normal"/>
    <w:link w:val="Heading1Char"/>
    <w:uiPriority w:val="9"/>
    <w:qFormat/>
    <w:rsid w:val="00622D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2D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2D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2D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2D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2D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2D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2D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2D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622D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sid w:val="00622D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622D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622D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622D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622D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622D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622D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622DC5"/>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622DC5"/>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622DC5"/>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622DC5"/>
    <w:rPr>
      <w:i/>
      <w:iCs/>
      <w:color w:val="404040" w:themeColor="text1" w:themeTint="BF"/>
    </w:rPr>
  </w:style>
  <w:style w:type="character" w:styleId="IntenseEmphasis">
    <w:name w:val="Intense Emphasis"/>
    <w:basedOn w:val="DefaultParagraphFont"/>
    <w:uiPriority w:val="21"/>
    <w:qFormat/>
    <w:rsid w:val="00622DC5"/>
    <w:rPr>
      <w:i/>
      <w:iCs/>
      <w:color w:val="0F4761" w:themeColor="accent1" w:themeShade="BF"/>
    </w:rPr>
  </w:style>
  <w:style w:type="character" w:customStyle="1" w:styleId="IntenseQuoteChar">
    <w:name w:val="Intense Quote Char"/>
    <w:basedOn w:val="DefaultParagraphFont"/>
    <w:link w:val="IntenseQuote"/>
    <w:uiPriority w:val="30"/>
    <w:qFormat/>
    <w:rsid w:val="00622DC5"/>
    <w:rPr>
      <w:i/>
      <w:iCs/>
      <w:color w:val="0F4761" w:themeColor="accent1" w:themeShade="BF"/>
    </w:rPr>
  </w:style>
  <w:style w:type="character" w:styleId="IntenseReference">
    <w:name w:val="Intense Reference"/>
    <w:basedOn w:val="DefaultParagraphFont"/>
    <w:uiPriority w:val="32"/>
    <w:qFormat/>
    <w:rsid w:val="00622DC5"/>
    <w:rPr>
      <w:b/>
      <w:bCs/>
      <w:smallCaps/>
      <w:color w:val="0F4761" w:themeColor="accent1" w:themeShade="BF"/>
      <w:spacing w:val="5"/>
    </w:rPr>
  </w:style>
  <w:style w:type="character" w:customStyle="1" w:styleId="HeaderChar">
    <w:name w:val="Header Char"/>
    <w:basedOn w:val="DefaultParagraphFont"/>
    <w:link w:val="Header"/>
    <w:uiPriority w:val="99"/>
    <w:qFormat/>
    <w:rsid w:val="007D378C"/>
  </w:style>
  <w:style w:type="character" w:customStyle="1" w:styleId="FooterChar">
    <w:name w:val="Footer Char"/>
    <w:basedOn w:val="DefaultParagraphFont"/>
    <w:link w:val="Footer"/>
    <w:uiPriority w:val="99"/>
    <w:qFormat/>
    <w:rsid w:val="007D378C"/>
  </w:style>
  <w:style w:type="character" w:customStyle="1" w:styleId="apple-converted-space">
    <w:name w:val="apple-converted-space"/>
    <w:basedOn w:val="DefaultParagraphFont"/>
    <w:qFormat/>
    <w:rsid w:val="00CB2176"/>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Title">
    <w:name w:val="Title"/>
    <w:basedOn w:val="Normal"/>
    <w:next w:val="Normal"/>
    <w:link w:val="TitleChar"/>
    <w:uiPriority w:val="10"/>
    <w:qFormat/>
    <w:rsid w:val="00622DC5"/>
    <w:pPr>
      <w:spacing w:after="80" w:line="240" w:lineRule="auto"/>
      <w:contextualSpacing/>
    </w:pPr>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622D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2DC5"/>
    <w:pPr>
      <w:spacing w:before="160"/>
      <w:jc w:val="center"/>
    </w:pPr>
    <w:rPr>
      <w:i/>
      <w:iCs/>
      <w:color w:val="404040" w:themeColor="text1" w:themeTint="BF"/>
    </w:rPr>
  </w:style>
  <w:style w:type="paragraph" w:styleId="ListParagraph">
    <w:name w:val="List Paragraph"/>
    <w:basedOn w:val="Normal"/>
    <w:uiPriority w:val="34"/>
    <w:qFormat/>
    <w:rsid w:val="00622DC5"/>
    <w:pPr>
      <w:ind w:left="720"/>
      <w:contextualSpacing/>
    </w:pPr>
  </w:style>
  <w:style w:type="paragraph" w:styleId="IntenseQuote">
    <w:name w:val="Intense Quote"/>
    <w:basedOn w:val="Normal"/>
    <w:next w:val="Normal"/>
    <w:link w:val="IntenseQuoteChar"/>
    <w:uiPriority w:val="30"/>
    <w:qFormat/>
    <w:rsid w:val="00622DC5"/>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TableNormal1">
    <w:name w:val="Table Normal1"/>
    <w:qFormat/>
    <w:pPr>
      <w:spacing w:after="160" w:line="276" w:lineRule="auto"/>
    </w:pPr>
    <w:rPr>
      <w:rFonts w:cs="Times New Roman"/>
    </w:rPr>
  </w:style>
  <w:style w:type="paragraph" w:customStyle="1" w:styleId="HeaderandFooter">
    <w:name w:val="Header and Footer"/>
    <w:basedOn w:val="Normal"/>
    <w:qFormat/>
  </w:style>
  <w:style w:type="paragraph" w:styleId="Header">
    <w:name w:val="header"/>
    <w:basedOn w:val="Normal"/>
    <w:link w:val="HeaderChar"/>
    <w:uiPriority w:val="99"/>
    <w:unhideWhenUsed/>
    <w:rsid w:val="007D378C"/>
    <w:pPr>
      <w:tabs>
        <w:tab w:val="center" w:pos="4513"/>
        <w:tab w:val="right" w:pos="9026"/>
      </w:tabs>
      <w:spacing w:after="0" w:line="240" w:lineRule="auto"/>
    </w:pPr>
  </w:style>
  <w:style w:type="paragraph" w:styleId="Footer">
    <w:name w:val="footer"/>
    <w:basedOn w:val="Normal"/>
    <w:link w:val="FooterChar"/>
    <w:uiPriority w:val="99"/>
    <w:unhideWhenUsed/>
    <w:rsid w:val="007D378C"/>
    <w:pPr>
      <w:tabs>
        <w:tab w:val="center" w:pos="4513"/>
        <w:tab w:val="right" w:pos="9026"/>
      </w:tabs>
      <w:spacing w:after="0" w:line="240" w:lineRule="auto"/>
    </w:pPr>
  </w:style>
  <w:style w:type="paragraph" w:customStyle="1" w:styleId="p1">
    <w:name w:val="p1"/>
    <w:basedOn w:val="Normal"/>
    <w:qFormat/>
    <w:rsid w:val="00040238"/>
    <w:pPr>
      <w:suppressAutoHyphens w:val="0"/>
      <w:spacing w:after="0" w:line="240" w:lineRule="auto"/>
    </w:pPr>
    <w:rPr>
      <w:rFonts w:ascii="Garamond" w:eastAsia="Times New Roman" w:hAnsi="Garamond" w:cs="Times New Roman"/>
      <w:color w:val="000000"/>
      <w:kern w:val="0"/>
      <w:sz w:val="18"/>
      <w:szCs w:val="18"/>
      <w:lang w:eastAsia="en-GB"/>
      <w14:ligatures w14:val="none"/>
    </w:rPr>
  </w:style>
  <w:style w:type="table" w:styleId="TableGrid">
    <w:name w:val="Table Grid"/>
    <w:basedOn w:val="TableNormal"/>
    <w:uiPriority w:val="39"/>
    <w:rsid w:val="0062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9343-8390-48D7-B131-7E37DF6F1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16007</Words>
  <Characters>97323</Characters>
  <Application>Microsoft Office Word</Application>
  <DocSecurity>0</DocSecurity>
  <Lines>6082</Lines>
  <Paragraphs>1333</Paragraphs>
  <ScaleCrop>false</ScaleCrop>
  <Company/>
  <LinksUpToDate>false</LinksUpToDate>
  <CharactersWithSpaces>111997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2026-07-27T10:26:00Z</dcterms:created>
  <dcterms:modified xsi:type="dcterms:W3CDTF">2026-07-27T10:26:00Z</dcterms:modified>
  <dc:language/>
</cp:coreProperties>
</file>